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A20574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0574">
        <w:rPr>
          <w:rFonts w:ascii="Times New Roman" w:hAnsi="Times New Roman" w:cs="Times New Roman"/>
          <w:b/>
          <w:color w:val="000000"/>
          <w:sz w:val="28"/>
          <w:szCs w:val="28"/>
        </w:rPr>
        <w:t>38.03.02 Менеджмент</w:t>
      </w:r>
    </w:p>
    <w:p w:rsidR="00133CD6" w:rsidRPr="00133CD6" w:rsidRDefault="00133CD6" w:rsidP="00A205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A20574" w:rsidRPr="00A20574">
        <w:rPr>
          <w:rFonts w:ascii="Times New Roman" w:hAnsi="Times New Roman" w:cs="Times New Roman"/>
          <w:b/>
          <w:color w:val="000000"/>
          <w:sz w:val="28"/>
          <w:szCs w:val="28"/>
        </w:rPr>
        <w:t>Менеджмент коммерческих</w:t>
      </w:r>
      <w:r w:rsidR="00A20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20574" w:rsidRPr="00A20574">
        <w:rPr>
          <w:rFonts w:ascii="Times New Roman" w:hAnsi="Times New Roman" w:cs="Times New Roman"/>
          <w:b/>
          <w:color w:val="000000"/>
          <w:sz w:val="28"/>
          <w:szCs w:val="28"/>
        </w:rPr>
        <w:t>и некоммерческих структур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FC71F6" w:rsidRDefault="00FC71F6" w:rsidP="00FC71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FC71F6" w:rsidRDefault="00FC71F6" w:rsidP="00FC7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31020" cy="5305425"/>
            <wp:effectExtent l="0" t="0" r="1778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71F6" w:rsidRDefault="00FC71F6" w:rsidP="00FC71F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EC3DB5" w:rsidRDefault="00EC3DB5" w:rsidP="00EC3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3DB5" w:rsidRDefault="00EC3DB5" w:rsidP="00EC3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0879D7" w:rsidP="000879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C629C0" wp14:editId="133CB944">
            <wp:extent cx="9388549" cy="4859079"/>
            <wp:effectExtent l="0" t="0" r="222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2A42" w:rsidRDefault="00242A42" w:rsidP="000879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0E2ECF9" wp14:editId="6CDA4B68">
            <wp:extent cx="9548037" cy="2934587"/>
            <wp:effectExtent l="0" t="0" r="15240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32B4C3" wp14:editId="48095E35">
            <wp:extent cx="9516139" cy="3189768"/>
            <wp:effectExtent l="0" t="0" r="2794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C6696B" wp14:editId="24F3C6B6">
            <wp:extent cx="9579935" cy="3338624"/>
            <wp:effectExtent l="0" t="0" r="2159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42A42" w:rsidRDefault="00242A42" w:rsidP="00242A4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1A4848" wp14:editId="106D35F8">
            <wp:extent cx="4421841" cy="2899410"/>
            <wp:effectExtent l="0" t="0" r="1714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0A71BF" wp14:editId="48BC1C79">
            <wp:extent cx="4465674" cy="2892056"/>
            <wp:effectExtent l="0" t="0" r="11430" b="228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CCF6A9" wp14:editId="6D54C291">
            <wp:extent cx="4433777" cy="2775098"/>
            <wp:effectExtent l="0" t="0" r="24130" b="254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CC9B01" wp14:editId="67B91ED9">
            <wp:extent cx="4412512" cy="2796363"/>
            <wp:effectExtent l="0" t="0" r="26670" b="234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B816448" wp14:editId="43E15382">
            <wp:extent cx="4476307" cy="2860159"/>
            <wp:effectExtent l="0" t="0" r="1968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33DC04" wp14:editId="364D728D">
            <wp:extent cx="4476307" cy="2860159"/>
            <wp:effectExtent l="0" t="0" r="1968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C24D88" wp14:editId="54305A45">
            <wp:extent cx="4497572" cy="3019647"/>
            <wp:effectExtent l="0" t="0" r="1778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A1EE5" w:rsidRDefault="001A1EE5" w:rsidP="001A1EE5">
      <w:pPr>
        <w:ind w:left="1921"/>
        <w:jc w:val="both"/>
        <w:rPr>
          <w:rFonts w:ascii="Times New Roman" w:hAnsi="Times New Roman" w:cs="Times New Roman"/>
          <w:sz w:val="28"/>
          <w:szCs w:val="28"/>
        </w:rPr>
      </w:pPr>
      <w:r w:rsidRPr="001A1EE5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1A1EE5">
        <w:rPr>
          <w:rFonts w:ascii="Times New Roman" w:hAnsi="Times New Roman" w:cs="Times New Roman"/>
          <w:color w:val="000000"/>
          <w:sz w:val="28"/>
          <w:szCs w:val="28"/>
        </w:rPr>
        <w:t>Результаты опросов работодателей и (или) их объединений об удовлетворенности качеством образования</w:t>
      </w:r>
    </w:p>
    <w:p w:rsidR="001A1EE5" w:rsidRDefault="001A1EE5" w:rsidP="001A1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103495"/>
            <wp:effectExtent l="0" t="0" r="22225" b="2095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A1EE5" w:rsidRDefault="001A1EE5" w:rsidP="001A1EE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41815" cy="5932805"/>
            <wp:effectExtent l="0" t="0" r="26035" b="1079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A1EE5" w:rsidRDefault="001A1EE5" w:rsidP="001A1EE5">
      <w:pPr>
        <w:ind w:left="19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EE5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1A1EE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опросов родителей обучающихся на образовательных программах </w:t>
      </w:r>
      <w:proofErr w:type="spellStart"/>
      <w:r w:rsidR="00133CD6" w:rsidRPr="001A1EE5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133CD6" w:rsidRPr="001A1EE5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 w:rsidRPr="001A1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21CD" w:rsidRDefault="002221CD" w:rsidP="002221C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2221CD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2221CD">
      <w:footerReference w:type="even" r:id="rId49"/>
      <w:footerReference w:type="default" r:id="rId50"/>
      <w:footerReference w:type="first" r:id="rId51"/>
      <w:pgSz w:w="16838" w:h="11906" w:orient="landscape"/>
      <w:pgMar w:top="851" w:right="678" w:bottom="709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A2057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D86FCD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D86FCD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D86FCD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879D7"/>
    <w:rsid w:val="00133CD6"/>
    <w:rsid w:val="00191297"/>
    <w:rsid w:val="001A1EE5"/>
    <w:rsid w:val="002221CD"/>
    <w:rsid w:val="00242A42"/>
    <w:rsid w:val="002D0F13"/>
    <w:rsid w:val="002E2069"/>
    <w:rsid w:val="005F5AEA"/>
    <w:rsid w:val="008037B4"/>
    <w:rsid w:val="008D5781"/>
    <w:rsid w:val="00960514"/>
    <w:rsid w:val="009C63A0"/>
    <w:rsid w:val="00A20574"/>
    <w:rsid w:val="00B9684B"/>
    <w:rsid w:val="00BE7767"/>
    <w:rsid w:val="00C0464E"/>
    <w:rsid w:val="00C47B19"/>
    <w:rsid w:val="00CC5913"/>
    <w:rsid w:val="00D86FCD"/>
    <w:rsid w:val="00DC3054"/>
    <w:rsid w:val="00E431EA"/>
    <w:rsid w:val="00E833E3"/>
    <w:rsid w:val="00EC3DB5"/>
    <w:rsid w:val="00EE77DF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8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8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М!$F$24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М!$G$24:$AD$24</c:f>
              <c:numCache>
                <c:formatCode>General</c:formatCode>
                <c:ptCount val="24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13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13</c:v>
                </c:pt>
                <c:pt idx="13">
                  <c:v>15</c:v>
                </c:pt>
                <c:pt idx="14">
                  <c:v>14</c:v>
                </c:pt>
                <c:pt idx="15">
                  <c:v>15</c:v>
                </c:pt>
                <c:pt idx="16">
                  <c:v>13</c:v>
                </c:pt>
                <c:pt idx="17">
                  <c:v>13</c:v>
                </c:pt>
                <c:pt idx="18">
                  <c:v>14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15</c:v>
                </c:pt>
                <c:pt idx="2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М!$F$25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М!$G$25:$AD$25</c:f>
              <c:numCache>
                <c:formatCode>General</c:formatCode>
                <c:ptCount val="2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6</c:v>
                </c:pt>
                <c:pt idx="20">
                  <c:v>5</c:v>
                </c:pt>
                <c:pt idx="21">
                  <c:v>3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М!$F$26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М!$G$26:$AD$26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М!$F$27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М!$G$27:$AD$27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М!$F$28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М!$G$28:$AD$28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954880"/>
        <c:axId val="80956416"/>
        <c:axId val="0"/>
      </c:bar3DChart>
      <c:catAx>
        <c:axId val="80954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80956416"/>
        <c:crosses val="autoZero"/>
        <c:auto val="1"/>
        <c:lblAlgn val="ctr"/>
        <c:lblOffset val="100"/>
        <c:noMultiLvlLbl val="0"/>
      </c:catAx>
      <c:valAx>
        <c:axId val="809564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0954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252992"/>
        <c:axId val="113283456"/>
      </c:barChart>
      <c:catAx>
        <c:axId val="1132529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3283456"/>
        <c:crosses val="autoZero"/>
        <c:auto val="1"/>
        <c:lblAlgn val="ctr"/>
        <c:lblOffset val="100"/>
        <c:noMultiLvlLbl val="0"/>
      </c:catAx>
      <c:valAx>
        <c:axId val="11328345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252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303936"/>
        <c:axId val="113305472"/>
      </c:barChart>
      <c:catAx>
        <c:axId val="1133039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3305472"/>
        <c:crosses val="autoZero"/>
        <c:auto val="1"/>
        <c:lblAlgn val="ctr"/>
        <c:lblOffset val="80"/>
        <c:noMultiLvlLbl val="0"/>
      </c:catAx>
      <c:valAx>
        <c:axId val="11330547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3039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317760"/>
        <c:axId val="113319296"/>
      </c:barChart>
      <c:catAx>
        <c:axId val="113317760"/>
        <c:scaling>
          <c:orientation val="minMax"/>
        </c:scaling>
        <c:delete val="0"/>
        <c:axPos val="l"/>
        <c:majorTickMark val="out"/>
        <c:minorTickMark val="none"/>
        <c:tickLblPos val="nextTo"/>
        <c:crossAx val="113319296"/>
        <c:crosses val="autoZero"/>
        <c:auto val="1"/>
        <c:lblAlgn val="ctr"/>
        <c:lblOffset val="100"/>
        <c:noMultiLvlLbl val="0"/>
      </c:catAx>
      <c:valAx>
        <c:axId val="11331929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3177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861568"/>
        <c:axId val="112863104"/>
        <c:axId val="0"/>
      </c:bar3DChart>
      <c:catAx>
        <c:axId val="112861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2863104"/>
        <c:crosses val="autoZero"/>
        <c:auto val="1"/>
        <c:lblAlgn val="ctr"/>
        <c:lblOffset val="100"/>
        <c:noMultiLvlLbl val="0"/>
      </c:catAx>
      <c:valAx>
        <c:axId val="11286310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861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588864"/>
        <c:axId val="113594752"/>
        <c:axId val="0"/>
      </c:bar3DChart>
      <c:catAx>
        <c:axId val="113588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3594752"/>
        <c:crosses val="autoZero"/>
        <c:auto val="1"/>
        <c:lblAlgn val="ctr"/>
        <c:lblOffset val="100"/>
        <c:noMultiLvlLbl val="0"/>
      </c:catAx>
      <c:valAx>
        <c:axId val="1135947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5888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656960"/>
        <c:axId val="113658496"/>
        <c:axId val="0"/>
      </c:bar3DChart>
      <c:catAx>
        <c:axId val="113656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3658496"/>
        <c:crosses val="autoZero"/>
        <c:auto val="1"/>
        <c:lblAlgn val="ctr"/>
        <c:lblOffset val="100"/>
        <c:noMultiLvlLbl val="0"/>
      </c:catAx>
      <c:valAx>
        <c:axId val="1136584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6569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104098727076994"/>
          <c:y val="4.2127435492364404E-2"/>
          <c:w val="0.59279543622768549"/>
          <c:h val="0.8557006224381357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М!$E$12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М!$F$12:$W$12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5</c:v>
                </c:pt>
                <c:pt idx="13">
                  <c:v>4</c:v>
                </c:pt>
                <c:pt idx="14">
                  <c:v>3</c:v>
                </c:pt>
                <c:pt idx="15">
                  <c:v>5</c:v>
                </c:pt>
                <c:pt idx="16">
                  <c:v>2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М!$F$13:$W$13</c:f>
              <c:numCache>
                <c:formatCode>General</c:formatCode>
                <c:ptCount val="18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  <c:pt idx="10">
                  <c:v>2</c:v>
                </c:pt>
                <c:pt idx="11">
                  <c:v>5</c:v>
                </c:pt>
                <c:pt idx="12">
                  <c:v>4</c:v>
                </c:pt>
                <c:pt idx="13">
                  <c:v>5</c:v>
                </c:pt>
                <c:pt idx="14">
                  <c:v>4</c:v>
                </c:pt>
                <c:pt idx="15">
                  <c:v>4</c:v>
                </c:pt>
                <c:pt idx="16">
                  <c:v>7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М!$F$14:$W$14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М!$F$15:$W$15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235840"/>
        <c:axId val="113237376"/>
        <c:axId val="0"/>
      </c:bar3DChart>
      <c:catAx>
        <c:axId val="113235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237376"/>
        <c:crosses val="autoZero"/>
        <c:auto val="1"/>
        <c:lblAlgn val="ctr"/>
        <c:lblOffset val="100"/>
        <c:noMultiLvlLbl val="0"/>
      </c:catAx>
      <c:valAx>
        <c:axId val="1132373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2358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2026-04-14T09:52:00Z</dcterms:created>
  <dcterms:modified xsi:type="dcterms:W3CDTF">2026-04-30T08:57:00Z</dcterms:modified>
</cp:coreProperties>
</file>