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26D">
      <w:pPr>
        <w:pStyle w:val="printredaction-line"/>
        <w:divId w:val="27880223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D0526D">
      <w:pPr>
        <w:divId w:val="43070359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22.09.2021 № 656н</w:t>
      </w:r>
    </w:p>
    <w:p w:rsidR="00000000" w:rsidRDefault="00D0526D">
      <w:pPr>
        <w:pStyle w:val="2"/>
        <w:divId w:val="27880223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CS2N5/" w:history="1">
        <w:r>
          <w:rPr>
            <w:rStyle w:val="a4"/>
            <w:rFonts w:ascii="Georgia" w:hAnsi="Georgia"/>
            <w:sz w:val="19"/>
            <w:szCs w:val="19"/>
          </w:rPr>
          <w:t>статьей 214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LVS2MC/" w:history="1">
        <w:r>
          <w:rPr>
            <w:rStyle w:val="a4"/>
            <w:rFonts w:ascii="Georgia" w:hAnsi="Georgia"/>
            <w:sz w:val="19"/>
            <w:szCs w:val="19"/>
          </w:rPr>
          <w:t>пунктом 1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</w:t>
        </w:r>
        <w:r>
          <w:rPr>
            <w:rStyle w:val="a4"/>
            <w:rFonts w:ascii="Georgia" w:hAnsi="Georgia"/>
            <w:sz w:val="19"/>
            <w:szCs w:val="19"/>
          </w:rPr>
          <w:t xml:space="preserve">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ст.3528; 2017, № 7, ст.1093),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</w:t>
      </w:r>
      <w:hyperlink r:id="rId7" w:anchor="/document/99/727092660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примерный перечень мероприятий по предотвр</w:t>
        </w:r>
        <w:r>
          <w:rPr>
            <w:rStyle w:val="a4"/>
            <w:rFonts w:ascii="Georgia" w:hAnsi="Georgia"/>
            <w:sz w:val="19"/>
            <w:szCs w:val="19"/>
          </w:rPr>
          <w:t>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 марта 2022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divId w:val="63074384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0526D">
      <w:pPr>
        <w:spacing w:after="223"/>
        <w:jc w:val="both"/>
        <w:divId w:val="18107803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 декабря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6619</w:t>
      </w:r>
      <w:r>
        <w:rPr>
          <w:rFonts w:ascii="Helvetica" w:hAnsi="Helvetica" w:cs="Helvetica"/>
          <w:sz w:val="16"/>
          <w:szCs w:val="16"/>
        </w:rPr>
        <w:t>2</w:t>
      </w:r>
    </w:p>
    <w:p w:rsidR="00000000" w:rsidRDefault="00D0526D">
      <w:pPr>
        <w:pStyle w:val="align-right"/>
        <w:divId w:val="1068458329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Министерства труда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22 сентября 2021 года № 656н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D0526D">
      <w:pPr>
        <w:divId w:val="110350036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Примерный перечень мероприятий по пр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D0526D">
      <w:pPr>
        <w:divId w:val="2163608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Организационные мероприяти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Назначение работодателем, под контролем которого нахо</w:t>
      </w:r>
      <w:r>
        <w:rPr>
          <w:rFonts w:ascii="Georgia" w:hAnsi="Georgia"/>
          <w:sz w:val="19"/>
          <w:szCs w:val="19"/>
        </w:rPr>
        <w:t>дится территория или объект (далее - контролирующий работодатель), и работодателем, осуществляющим производство работ (оказание услуг) (далее - зависимый работодатель) на территории или объекте (далее - территории), находящейся под контролем другого работо</w:t>
      </w:r>
      <w:r>
        <w:rPr>
          <w:rFonts w:ascii="Georgia" w:hAnsi="Georgia"/>
          <w:sz w:val="19"/>
          <w:szCs w:val="19"/>
        </w:rPr>
        <w:t>дателя, до начала выполнения работ, лиц, отвечающих за безопасную организацию работ в соответствии с требованиями норм и правил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Составление работодателем, под контролем которого находится территория или объект, и работодателем, производ</w:t>
      </w:r>
      <w:r>
        <w:rPr>
          <w:rFonts w:ascii="Georgia" w:hAnsi="Georgia"/>
          <w:sz w:val="19"/>
          <w:szCs w:val="19"/>
        </w:rPr>
        <w:t>ящим работы (оказывающим услуги), единого перечня вредных и (или) опасных производственных факторов, опасностей, включающего</w:t>
      </w:r>
      <w:r>
        <w:rPr>
          <w:rFonts w:ascii="Georgia" w:hAnsi="Georgia"/>
          <w:sz w:val="19"/>
          <w:szCs w:val="19"/>
        </w:rPr>
        <w:t>: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перечень факторов, присутствующих на территории, но не связанных с характером выполняемых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перечень факторов, возникаю</w:t>
      </w:r>
      <w:r>
        <w:rPr>
          <w:rFonts w:ascii="Georgia" w:hAnsi="Georgia"/>
          <w:sz w:val="19"/>
          <w:szCs w:val="19"/>
        </w:rPr>
        <w:t>щих в результате производства работ (оказания услуги)</w:t>
      </w:r>
      <w:r>
        <w:rPr>
          <w:rFonts w:ascii="Georgia" w:hAnsi="Georgia"/>
          <w:sz w:val="19"/>
          <w:szCs w:val="19"/>
        </w:rPr>
        <w:t>;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>оставление работодателем, под контролем которого находится территория или объект, и работодателем, производящим работы (оказывающим услуги), плана мероприятий по эвакуации и спасению работников при возникновении аварийной ситуации и при проведении спасател</w:t>
      </w:r>
      <w:r>
        <w:rPr>
          <w:rFonts w:ascii="Georgia" w:hAnsi="Georgia"/>
          <w:sz w:val="19"/>
          <w:szCs w:val="19"/>
        </w:rPr>
        <w:t>ьных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Утверждение контролирующим ра</w:t>
      </w:r>
      <w:r>
        <w:rPr>
          <w:rFonts w:ascii="Georgia" w:hAnsi="Georgia"/>
          <w:sz w:val="19"/>
          <w:szCs w:val="19"/>
        </w:rPr>
        <w:t>ботодателем и зависимым работодателем акта-допуска, являющегося основанием разрешения производства работ, для которых требуется акт-допуск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Организация производства совместных (выполняемых разными зависимыми работодателями одновременно работ на одной те</w:t>
      </w:r>
      <w:r>
        <w:rPr>
          <w:rFonts w:ascii="Georgia" w:hAnsi="Georgia"/>
          <w:sz w:val="19"/>
          <w:szCs w:val="19"/>
        </w:rPr>
        <w:t>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Обеспечение контролирующим работодателем допуска к работам, </w:t>
      </w:r>
      <w:r>
        <w:rPr>
          <w:rFonts w:ascii="Georgia" w:hAnsi="Georgia"/>
          <w:sz w:val="19"/>
          <w:szCs w:val="19"/>
        </w:rPr>
        <w:t>координацию и информирование зависимых работодателей, производящих работы (оказывающих услуги) на одной неподконтрольной им территории и у которых отсутствуют взаимные договоры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Организация контролирующим работодателем непрерывной связи и координации за</w:t>
      </w:r>
      <w:r>
        <w:rPr>
          <w:rFonts w:ascii="Georgia" w:hAnsi="Georgia"/>
          <w:sz w:val="19"/>
          <w:szCs w:val="19"/>
        </w:rPr>
        <w:t>висимых работодателей, производящих работы (оказывающих услуги) на территории до начала, во время и после окончания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Проведение мониторинга хода производства работ и изменения условий труда на территории по утвержденному контролирующим работодател</w:t>
      </w:r>
      <w:r>
        <w:rPr>
          <w:rFonts w:ascii="Georgia" w:hAnsi="Georgia"/>
          <w:sz w:val="19"/>
          <w:szCs w:val="19"/>
        </w:rPr>
        <w:t>ем порядку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Проведе</w:t>
      </w:r>
      <w:r>
        <w:rPr>
          <w:rFonts w:ascii="Georgia" w:hAnsi="Georgia"/>
          <w:sz w:val="19"/>
          <w:szCs w:val="19"/>
        </w:rPr>
        <w:t>ние работодателем, контролирующим территорию, инструктирования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</w:t>
      </w:r>
      <w:r>
        <w:rPr>
          <w:rFonts w:ascii="Georgia" w:hAnsi="Georgia"/>
          <w:sz w:val="19"/>
          <w:szCs w:val="19"/>
        </w:rPr>
        <w:t>изводящих работы (оказывающих услуги) на территории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Разработка и издание (тиражирование) инструкций по охране труда, учитывающих специфику проведения соответствующих работ на территории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Обеспечение документацией по охране труда, в том числе в эле</w:t>
      </w:r>
      <w:r>
        <w:rPr>
          <w:rFonts w:ascii="Georgia" w:hAnsi="Georgia"/>
          <w:sz w:val="19"/>
          <w:szCs w:val="19"/>
        </w:rPr>
        <w:t>ктронном виде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Проведение мониторинга (инспекций, аудитов) соблюдения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divId w:val="14126580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Технические мероприяти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Обеспечение доступа контролирующим и зависимым работодателем для проведения контроля за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</w:t>
      </w:r>
      <w:r>
        <w:rPr>
          <w:rFonts w:ascii="Georgia" w:hAnsi="Georgia"/>
          <w:sz w:val="19"/>
          <w:szCs w:val="19"/>
        </w:rPr>
        <w:t xml:space="preserve"> дистанционную видео-, аудио- или иную фиксацию процессов производства работ на территории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</w:t>
      </w:r>
      <w:r>
        <w:rPr>
          <w:rFonts w:ascii="Georgia" w:hAnsi="Georgia"/>
          <w:sz w:val="19"/>
          <w:szCs w:val="19"/>
        </w:rPr>
        <w:t>ле для производственного оборудования, в целях обеспечения безопасной эксплуатации и аварийной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Определение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границ опасных зон на время выполнения работ по действию опасных факторов на территории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рабочих мест на которых работы выполняютс</w:t>
      </w:r>
      <w:r>
        <w:rPr>
          <w:rFonts w:ascii="Georgia" w:hAnsi="Georgia"/>
          <w:sz w:val="19"/>
          <w:szCs w:val="19"/>
        </w:rPr>
        <w:t>я по наряду-допуску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мест установки защитных ограждений и знаков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17.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</w:t>
      </w:r>
      <w:r>
        <w:rPr>
          <w:rFonts w:ascii="Georgia" w:hAnsi="Georgia"/>
          <w:sz w:val="19"/>
          <w:szCs w:val="19"/>
        </w:rPr>
        <w:t>и на другие объекты сигнальных цветов и знаков безопасности, а также наименование и принадлежность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Установка на время выполнения работ предохранительных, защитных и сигнализирующих устройств (приспособлений) в целях обеспечения безопасной</w:t>
      </w:r>
      <w:r>
        <w:rPr>
          <w:rFonts w:ascii="Georgia" w:hAnsi="Georgia"/>
          <w:sz w:val="19"/>
          <w:szCs w:val="19"/>
        </w:rPr>
        <w:t xml:space="preserve">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Принятие мер по снижению уровня воздействия, в том числе за счет изменения графика работ, или</w:t>
      </w:r>
      <w:r>
        <w:rPr>
          <w:rFonts w:ascii="Georgia" w:hAnsi="Georgia"/>
          <w:sz w:val="19"/>
          <w:szCs w:val="19"/>
        </w:rPr>
        <w:t xml:space="preserve"> устранение влияния вредных производственных факторов на работников на их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</w:t>
      </w:r>
      <w:r>
        <w:rPr>
          <w:rFonts w:ascii="Georgia" w:hAnsi="Georgia"/>
          <w:sz w:val="19"/>
          <w:szCs w:val="19"/>
        </w:rPr>
        <w:t>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Обеспечение естественного и искусственного освещения на территории и на раб</w:t>
      </w:r>
      <w:r>
        <w:rPr>
          <w:rFonts w:ascii="Georgia" w:hAnsi="Georgia"/>
          <w:sz w:val="19"/>
          <w:szCs w:val="19"/>
        </w:rPr>
        <w:t>очих местах контролирующего и зависимого работодателей, в служебных и бытовых помещениях, местах прохода по территории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Организация уборки территории и производственных помещений, своевременного удаления и обезвреживания отходов производства</w:t>
      </w:r>
      <w:r>
        <w:rPr>
          <w:rFonts w:ascii="Georgia" w:hAnsi="Georgia"/>
          <w:sz w:val="19"/>
          <w:szCs w:val="19"/>
        </w:rPr>
        <w:t>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Устройство тротуаров, переходов, галерей, в том числе временных на время пров</w:t>
      </w:r>
      <w:r>
        <w:rPr>
          <w:rFonts w:ascii="Georgia" w:hAnsi="Georgia"/>
          <w:sz w:val="19"/>
          <w:szCs w:val="19"/>
        </w:rPr>
        <w:t>едения работ, а также изменение маршрутов движения транспорта на территории в целях обеспечения безопасности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divId w:val="8542249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Мероприятия по обеспечению средствами индивидуальной защит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Определение мест хранения средств индивидуальной защиты (далее - С</w:t>
      </w:r>
      <w:r>
        <w:rPr>
          <w:rFonts w:ascii="Georgia" w:hAnsi="Georgia"/>
          <w:sz w:val="19"/>
          <w:szCs w:val="19"/>
        </w:rPr>
        <w:t>ИЗ),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</w:t>
      </w:r>
      <w:r>
        <w:rPr>
          <w:rFonts w:ascii="Georgia" w:hAnsi="Georgia"/>
          <w:sz w:val="19"/>
          <w:szCs w:val="19"/>
        </w:rPr>
        <w:t>ренных правилами и нормами охраны труда для выполнения конкретных видов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Определение мест хранения, особенностей использования (при наличии) и мест утилизации работниками смывающих и (или) обезвреживающих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divId w:val="65326719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Лечебно-профилактические и 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анитарно-бытовые мероприяти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Определение месторасположения на территории аптечек для оказания первой помощи на время выполнения работ (услуг)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Устройство новых и (или) реконструкция (при необходимости) имеющихся комнат для отдыха в рабочее время, п</w:t>
      </w:r>
      <w:r>
        <w:rPr>
          <w:rFonts w:ascii="Georgia" w:hAnsi="Georgia"/>
          <w:sz w:val="19"/>
          <w:szCs w:val="19"/>
        </w:rPr>
        <w:t>омещений и комнат психологической разгрузки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Определение порядка совместного использования имеющихся на территории санитарно-бытовых помещений (гардеробные, душевые, умывальные, санузлы)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Определение порядка совместного использования имеющихся на т</w:t>
      </w:r>
      <w:r>
        <w:rPr>
          <w:rFonts w:ascii="Georgia" w:hAnsi="Georgia"/>
          <w:sz w:val="19"/>
          <w:szCs w:val="19"/>
        </w:rPr>
        <w:t>ерритории комнат обогрева, охлаждения, приема пищи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Определение месторасположения на территории аппаратов (устройства) для обеспечения работников горячих цехов и участков газированной соленой водой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Информирование о наличии, месторасположении и реж</w:t>
      </w:r>
      <w:r>
        <w:rPr>
          <w:rFonts w:ascii="Georgia" w:hAnsi="Georgia"/>
          <w:sz w:val="19"/>
          <w:szCs w:val="19"/>
        </w:rPr>
        <w:t>име работы, имеющихся на территории здравпунктов (фельдшерские или врачебные для территорий крупных подразделений)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Обеспечение беспрепятственного допуска автомобилей скорой медицинской помощи на территорию с сопровождением ее к месту несчастного случа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.</w:t>
      </w:r>
    </w:p>
    <w:p w:rsidR="00000000" w:rsidRDefault="00D0526D">
      <w:pPr>
        <w:spacing w:after="223"/>
        <w:jc w:val="both"/>
        <w:divId w:val="21188654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D0526D" w:rsidRDefault="00D0526D">
      <w:pPr>
        <w:divId w:val="137330987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D0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8553AA"/>
    <w:rsid w:val="008553AA"/>
    <w:rsid w:val="00D0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223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422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384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3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8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0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49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1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987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2023-11-09T07:21:00Z</dcterms:created>
  <dcterms:modified xsi:type="dcterms:W3CDTF">2023-11-09T07:21:00Z</dcterms:modified>
</cp:coreProperties>
</file>