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15EC2">
      <w:pPr>
        <w:pStyle w:val="printredaction-line"/>
        <w:divId w:val="25176607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Редакция от 1 мар 2022</w:t>
      </w:r>
    </w:p>
    <w:p w:rsidR="00000000" w:rsidRDefault="00715EC2">
      <w:pPr>
        <w:divId w:val="758256184"/>
        <w:rPr>
          <w:rFonts w:ascii="Georgia" w:eastAsia="Times New Roman" w:hAnsi="Georgia"/>
          <w:sz w:val="19"/>
          <w:szCs w:val="19"/>
        </w:rPr>
      </w:pPr>
      <w:r>
        <w:rPr>
          <w:rFonts w:ascii="Georgia" w:eastAsia="Times New Roman" w:hAnsi="Georgia"/>
          <w:sz w:val="19"/>
          <w:szCs w:val="19"/>
        </w:rPr>
        <w:t>Приказ Минтруда России от 29.10.2021 № 774н</w:t>
      </w:r>
    </w:p>
    <w:p w:rsidR="00000000" w:rsidRDefault="00715EC2">
      <w:pPr>
        <w:pStyle w:val="2"/>
        <w:divId w:val="25176607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Об утверждении общих требований к организации безопасного рабочего места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В соответствии с частью седьмой</w:t>
      </w:r>
      <w:r>
        <w:rPr>
          <w:rFonts w:ascii="Georgia" w:hAnsi="Georgia"/>
          <w:sz w:val="19"/>
          <w:szCs w:val="19"/>
        </w:rPr>
        <w:t xml:space="preserve"> </w:t>
      </w:r>
      <w:hyperlink r:id="rId4" w:anchor="/document/99/901807664/XA00ME22NC/" w:history="1">
        <w:r>
          <w:rPr>
            <w:rStyle w:val="a4"/>
            <w:rFonts w:ascii="Georgia" w:hAnsi="Georgia"/>
            <w:sz w:val="19"/>
            <w:szCs w:val="19"/>
          </w:rPr>
          <w:t>статьи 209 Трудового кодекса Российской Федерации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Российской Федерации, 2002, № 1, ст.3; 2021, № 27, ст.5139) и</w:t>
      </w:r>
      <w:r>
        <w:rPr>
          <w:rFonts w:ascii="Georgia" w:hAnsi="Georgia"/>
          <w:sz w:val="19"/>
          <w:szCs w:val="19"/>
        </w:rPr>
        <w:t xml:space="preserve"> </w:t>
      </w:r>
      <w:hyperlink r:id="rId5" w:anchor="/document/99/902353905/XA00M7C2MK/" w:history="1">
        <w:r>
          <w:rPr>
            <w:rStyle w:val="a4"/>
            <w:rFonts w:ascii="Georgia" w:hAnsi="Georgia"/>
            <w:sz w:val="19"/>
            <w:szCs w:val="19"/>
          </w:rPr>
          <w:t xml:space="preserve">подпунктом 5.2.18 (1) пункта 5 Положения </w:t>
        </w:r>
        <w:r>
          <w:rPr>
            <w:rStyle w:val="a4"/>
            <w:rFonts w:ascii="Georgia" w:hAnsi="Georgia"/>
            <w:sz w:val="19"/>
            <w:szCs w:val="19"/>
          </w:rPr>
          <w:t>о Министерстве труда и социальной защиты Российской Федерации</w:t>
        </w:r>
      </w:hyperlink>
      <w:r>
        <w:rPr>
          <w:rFonts w:ascii="Georgia" w:hAnsi="Georgia"/>
          <w:sz w:val="19"/>
          <w:szCs w:val="19"/>
        </w:rPr>
        <w:t>, утвержденного</w:t>
      </w:r>
      <w:r>
        <w:rPr>
          <w:rFonts w:ascii="Georgia" w:hAnsi="Georgia"/>
          <w:sz w:val="19"/>
          <w:szCs w:val="19"/>
        </w:rPr>
        <w:t xml:space="preserve"> </w:t>
      </w:r>
      <w:hyperlink r:id="rId6" w:anchor="/document/99/902353905/XA00M1S2LR/" w:history="1">
        <w:r>
          <w:rPr>
            <w:rStyle w:val="a4"/>
            <w:rFonts w:ascii="Georgia" w:hAnsi="Georgia"/>
            <w:sz w:val="19"/>
            <w:szCs w:val="19"/>
          </w:rPr>
          <w:t>постановлением Правительства Российской Федерации от 19 июня 2012 г. № 610</w:t>
        </w:r>
      </w:hyperlink>
      <w:r>
        <w:rPr>
          <w:rFonts w:ascii="Georgia" w:hAnsi="Georgia"/>
          <w:sz w:val="19"/>
          <w:szCs w:val="19"/>
        </w:rPr>
        <w:t xml:space="preserve"> (Собрание законодательства Р</w:t>
      </w:r>
      <w:r>
        <w:rPr>
          <w:rFonts w:ascii="Georgia" w:hAnsi="Georgia"/>
          <w:sz w:val="19"/>
          <w:szCs w:val="19"/>
        </w:rPr>
        <w:t>оссийской Федерации, 2012, № 26, ст.3528; 2021, № 42, ст.7120),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приказываю</w:t>
      </w:r>
      <w:r>
        <w:rPr>
          <w:rFonts w:ascii="Georgia" w:hAnsi="Georgia"/>
          <w:sz w:val="19"/>
          <w:szCs w:val="19"/>
        </w:rPr>
        <w:t>: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1. Утвердить общие требования к организации безопасного рабочего места согласно </w:t>
      </w:r>
      <w:hyperlink r:id="rId7" w:anchor="/document/99/727092792/XA00M7C2MK/" w:tgtFrame="_self" w:history="1">
        <w:r>
          <w:rPr>
            <w:rStyle w:val="a4"/>
            <w:rFonts w:ascii="Georgia" w:hAnsi="Georgia"/>
            <w:sz w:val="19"/>
            <w:szCs w:val="19"/>
          </w:rPr>
          <w:t>приложению</w:t>
        </w:r>
      </w:hyperlink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Установить, что настоящий приказ вступает в силу с 1 марта 2022 г. и действует до 1 марта 2028 года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divId w:val="195242760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Министр</w:t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t>А.О.Котяков</w:t>
      </w:r>
      <w:r>
        <w:rPr>
          <w:rFonts w:ascii="Georgia" w:hAnsi="Georgia"/>
          <w:sz w:val="19"/>
          <w:szCs w:val="19"/>
        </w:rPr>
        <w:t xml:space="preserve"> </w:t>
      </w:r>
    </w:p>
    <w:p w:rsidR="00000000" w:rsidRDefault="00715EC2">
      <w:pPr>
        <w:spacing w:after="223"/>
        <w:jc w:val="both"/>
        <w:divId w:val="1446585322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Зарегистрировано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в Министерстве юстиции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25 ноября 2021 года,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регистрационный № 6598</w:t>
      </w:r>
      <w:r>
        <w:rPr>
          <w:rFonts w:ascii="Helvetica" w:hAnsi="Helvetica" w:cs="Helvetica"/>
          <w:sz w:val="16"/>
          <w:szCs w:val="16"/>
        </w:rPr>
        <w:t>7</w:t>
      </w:r>
    </w:p>
    <w:p w:rsidR="00000000" w:rsidRDefault="00715EC2">
      <w:pPr>
        <w:pStyle w:val="align-right"/>
        <w:divId w:val="1593778153"/>
        <w:rPr>
          <w:rFonts w:ascii="Helvetica" w:hAnsi="Helvetica" w:cs="Helvetica"/>
          <w:sz w:val="16"/>
          <w:szCs w:val="16"/>
        </w:rPr>
      </w:pPr>
      <w:r>
        <w:rPr>
          <w:rFonts w:ascii="Helvetica" w:hAnsi="Helvetica" w:cs="Helvetica"/>
          <w:sz w:val="16"/>
          <w:szCs w:val="16"/>
        </w:rPr>
        <w:t>УТВЕРЖДЕНЫ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приказом Минис</w:t>
      </w:r>
      <w:r>
        <w:rPr>
          <w:rFonts w:ascii="Helvetica" w:hAnsi="Helvetica" w:cs="Helvetica"/>
          <w:sz w:val="16"/>
          <w:szCs w:val="16"/>
        </w:rPr>
        <w:t>терства труда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и социальной защиты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Российской Федерации</w:t>
      </w:r>
      <w:r>
        <w:rPr>
          <w:rFonts w:ascii="Helvetica" w:hAnsi="Helvetica" w:cs="Helvetica"/>
          <w:sz w:val="16"/>
          <w:szCs w:val="16"/>
        </w:rPr>
        <w:br/>
      </w:r>
      <w:r>
        <w:rPr>
          <w:rFonts w:ascii="Helvetica" w:hAnsi="Helvetica" w:cs="Helvetica"/>
          <w:sz w:val="16"/>
          <w:szCs w:val="16"/>
        </w:rPr>
        <w:t>от 29 октября 2021 года № 774н</w:t>
      </w:r>
      <w:r>
        <w:rPr>
          <w:rFonts w:ascii="Helvetica" w:hAnsi="Helvetica" w:cs="Helvetica"/>
          <w:sz w:val="16"/>
          <w:szCs w:val="16"/>
        </w:rPr>
        <w:t xml:space="preserve"> </w:t>
      </w:r>
    </w:p>
    <w:p w:rsidR="00000000" w:rsidRDefault="00715EC2">
      <w:pPr>
        <w:divId w:val="874269865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требования к организации безопасного рабочего мест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715EC2">
      <w:pPr>
        <w:divId w:val="1357573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Общие положени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я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1. Общие требования к организации безопасного рабочего места (далее - Требования) разработан</w:t>
      </w:r>
      <w:r>
        <w:rPr>
          <w:rFonts w:ascii="Georgia" w:hAnsi="Georgia"/>
          <w:sz w:val="19"/>
          <w:szCs w:val="19"/>
        </w:rPr>
        <w:t>ы в целях обеспечения выполнения требований охраны труда работниками, занятыми на своих рабочих местах, и работодателями, при организации рабочих мест. Для рабочих мест с территориально меняющимися рабочими зонами, где рабочей зоной считается оснащенная не</w:t>
      </w:r>
      <w:r>
        <w:rPr>
          <w:rFonts w:ascii="Georgia" w:hAnsi="Georgia"/>
          <w:sz w:val="19"/>
          <w:szCs w:val="19"/>
        </w:rPr>
        <w:t>обходимыми средствами производства часть рабочего места, в которой один работник или несколько работников выполняют схожие работы или технологические операции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83820" cy="236220"/>
            <wp:effectExtent l="19050" t="0" r="0" b="0"/>
            <wp:docPr id="1" name="Рисунок 1" descr="https://1otruda.ru/system/content/image/200/1/27824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otruda.ru/system/content/image/200/1/2782424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положения Требований распространяются на каждую рабочую зону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divId w:val="396896835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83820" cy="220980"/>
            <wp:effectExtent l="19050" t="0" r="0" b="0"/>
            <wp:docPr id="2" name="Рисунок 2" descr="https://1otruda.ru/system/content/image/200/1/2782424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1otruda.ru/system/content/image/200/1/2782424/"/>
                    <pic:cNvPicPr>
                      <a:picLocks noChangeAspect="1" noChangeArrowheads="1"/>
                    </pic:cNvPicPr>
                  </pic:nvPicPr>
                  <pic:blipFill>
                    <a:blip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9" w:anchor="/document/99/499067392/XA00MDC2N5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Часть 4 статьи 16 Федерального закона от 28 декабря 2013 г. № 426-ФЗ "О специальной оценке условий труда"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(Собрание законодательства Российской Федерации, 2013, № 52, ст.6991).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2. Рабочее место, его оборудование и оснащение, применяемые в соответствии с ос</w:t>
      </w:r>
      <w:r>
        <w:rPr>
          <w:rFonts w:ascii="Georgia" w:hAnsi="Georgia"/>
          <w:sz w:val="19"/>
          <w:szCs w:val="19"/>
        </w:rPr>
        <w:t>обенностями выполняемых работ, должны обеспечивать сохранение жизни и здоровья занятых на нем работников при соблюдении ими положений применяемых у работодателя нормативных правовых актов по вопросам охраны труда (далее по тексту - государственные требован</w:t>
      </w:r>
      <w:r>
        <w:rPr>
          <w:rFonts w:ascii="Georgia" w:hAnsi="Georgia"/>
          <w:sz w:val="19"/>
          <w:szCs w:val="19"/>
        </w:rPr>
        <w:t>ия охраны труда)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3. На рабочем месте (в рабочей зоне) должны быть приняты меры по снижению до установленных предельно допустимых значений уровней воздействия (концентрации) вредных и (или) опасных производственных факторов на занятых на данном рабочем мес</w:t>
      </w:r>
      <w:r>
        <w:rPr>
          <w:rFonts w:ascii="Georgia" w:hAnsi="Georgia"/>
          <w:sz w:val="19"/>
          <w:szCs w:val="19"/>
        </w:rPr>
        <w:t>те работников с учетом применения ими средств индивидуальной (коллективной) защиты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4. Рабочее место (рабочая зона), его размеры, взаимное расположение органов управления, средств отображения информации, размещение вспомогательного оборудования и инструмен</w:t>
      </w:r>
      <w:r>
        <w:rPr>
          <w:rFonts w:ascii="Georgia" w:hAnsi="Georgia"/>
          <w:sz w:val="19"/>
          <w:szCs w:val="19"/>
        </w:rPr>
        <w:t xml:space="preserve">тов должны </w:t>
      </w:r>
      <w:r>
        <w:rPr>
          <w:rFonts w:ascii="Georgia" w:hAnsi="Georgia"/>
          <w:sz w:val="19"/>
          <w:szCs w:val="19"/>
        </w:rPr>
        <w:lastRenderedPageBreak/>
        <w:t>учитывать требования к выполняемой работе в соответствии с государственными требованиями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divId w:val="1640764606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организации рабочего мест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5. При организации рабочего места (рабочей зоны) должна быть обеспечена возможность смены рабочей </w:t>
      </w:r>
      <w:r>
        <w:rPr>
          <w:rFonts w:ascii="Georgia" w:hAnsi="Georgia"/>
          <w:sz w:val="19"/>
          <w:szCs w:val="19"/>
        </w:rPr>
        <w:t>позы занятыми на нем работниками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6. В зависимости от особенностей выполняемой работы рабочая поза работника в положении "сидя" является более удобной, чем рабочая поза в положении "стоя". Если основной рабочей позой работника является положение "стоя", ор</w:t>
      </w:r>
      <w:r>
        <w:rPr>
          <w:rFonts w:ascii="Georgia" w:hAnsi="Georgia"/>
          <w:sz w:val="19"/>
          <w:szCs w:val="19"/>
        </w:rPr>
        <w:t>ганизация рабочего места должна обеспечивать возможность смены основной рабочей позы на положение "сидя", в том числе посредством организации места для сидения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7. Удобство рабочей позы работника в положении "сидя" достигается регулированием взаимного поло</w:t>
      </w:r>
      <w:r>
        <w:rPr>
          <w:rFonts w:ascii="Georgia" w:hAnsi="Georgia"/>
          <w:sz w:val="19"/>
          <w:szCs w:val="19"/>
        </w:rPr>
        <w:t>жения места для сидения и рабочей поверхности, в том числе ее высоты и размеров, а также высоты и угла наклона подставки для ног при ее применении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 xml:space="preserve">При невозможности обеспечения указанного выше регулирования рабочей позы допускается использование рабочего </w:t>
      </w:r>
      <w:r>
        <w:rPr>
          <w:rFonts w:ascii="Georgia" w:hAnsi="Georgia"/>
          <w:sz w:val="19"/>
          <w:szCs w:val="19"/>
        </w:rPr>
        <w:t>места с нерегулируемыми параметрами. В этом случае высота рабочей поверхности устанавливается в соответствии с государственными требованиями охраны труда, исходя из особенностей выполнения работы, требований к обеспечению требуемой точности действий при ее</w:t>
      </w:r>
      <w:r>
        <w:rPr>
          <w:rFonts w:ascii="Georgia" w:hAnsi="Georgia"/>
          <w:sz w:val="19"/>
          <w:szCs w:val="19"/>
        </w:rPr>
        <w:t xml:space="preserve"> выполнении и контролю за ее выполнением, среднего роста работающих (мужчин - если работают только мужчины, женщин - если работают только женщины, по отдельности мужчин и женщин - если работают и мужчины, и женщины)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8. При организации рабочего места (рабо</w:t>
      </w:r>
      <w:r>
        <w:rPr>
          <w:rFonts w:ascii="Georgia" w:hAnsi="Georgia"/>
          <w:sz w:val="19"/>
          <w:szCs w:val="19"/>
        </w:rPr>
        <w:t>чей зоны) в соответствии с государственными требованиями охраны труда должно быть обеспечено безопасное выполнение трудовых операций во всех зонах досягаемости в зависимости от требуемой точности и частоты действий при осуществлении управления размещенными</w:t>
      </w:r>
      <w:r>
        <w:rPr>
          <w:rFonts w:ascii="Georgia" w:hAnsi="Georgia"/>
          <w:sz w:val="19"/>
          <w:szCs w:val="19"/>
        </w:rPr>
        <w:t xml:space="preserve"> на данном рабочем месте (в рабочей зоне) машинами, оборудованием, инструментами и приспособлениями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9. При организации рабочего места (рабочей зоны) должно быть обеспечено устойчивое положение и свобода движений занятого на нем работника, возможность конт</w:t>
      </w:r>
      <w:r>
        <w:rPr>
          <w:rFonts w:ascii="Georgia" w:hAnsi="Georgia"/>
          <w:sz w:val="19"/>
          <w:szCs w:val="19"/>
        </w:rPr>
        <w:t>роля деятельности и безопасность выполнения трудовых операций при условии соблюдения государственных требований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10. При организации рабочего места (рабочей зоны) должна быть исключена, а в случае невозможности исключения, обусловленной особен</w:t>
      </w:r>
      <w:r>
        <w:rPr>
          <w:rFonts w:ascii="Georgia" w:hAnsi="Georgia"/>
          <w:sz w:val="19"/>
          <w:szCs w:val="19"/>
        </w:rPr>
        <w:t>ностями организации производственного процесса, снижена до минимума продолжительность времени выполнения работы в вызывающих повышенную утомляемость неудобных рабочих позах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3" name="Рисунок 3" descr="https://1otruda.ru/system/content/image/200/1/27824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otruda.ru/system/content/image/200/1/2782425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>, связанных с наклоном или поворотом туловища, с поднятыми выше уровня плеч руками, с неудобным (стесненным) размещением ног, с необходимостью удержания рук на весу, с расположением органов упр</w:t>
      </w:r>
      <w:r>
        <w:rPr>
          <w:rFonts w:ascii="Georgia" w:hAnsi="Georgia"/>
          <w:sz w:val="19"/>
          <w:szCs w:val="19"/>
        </w:rPr>
        <w:t>авления или рабочих поверхностей оборудования вне пределов максимальной досягаемости рук работника либо с наличием в поле зрения работника объектов, препятствующих наблюдению за обслуживаемым объектом или процессом, а также в вынужденных рабочих позах</w:t>
      </w:r>
      <w:r>
        <w:rPr>
          <w:rFonts w:ascii="Georgia" w:hAnsi="Georgia"/>
          <w:noProof/>
          <w:sz w:val="19"/>
          <w:szCs w:val="19"/>
        </w:rPr>
        <w:drawing>
          <wp:inline distT="0" distB="0" distL="0" distR="0">
            <wp:extent cx="99060" cy="236220"/>
            <wp:effectExtent l="19050" t="0" r="0" b="0"/>
            <wp:docPr id="4" name="Рисунок 4" descr="https://1otruda.ru/system/content/image/200/1/27824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otruda.ru/system/content/image/200/1/2782426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Georgia" w:hAnsi="Georgia"/>
          <w:sz w:val="19"/>
          <w:szCs w:val="19"/>
        </w:rPr>
        <w:t xml:space="preserve"> в положениях "лежа", "на коленях",</w:t>
      </w:r>
      <w:r>
        <w:rPr>
          <w:rFonts w:ascii="Georgia" w:hAnsi="Georgia"/>
          <w:sz w:val="19"/>
          <w:szCs w:val="19"/>
        </w:rPr>
        <w:t xml:space="preserve"> "на корточках"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40"/>
        <w:divId w:val="1524199453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106680" cy="220980"/>
            <wp:effectExtent l="19050" t="0" r="7620" b="0"/>
            <wp:docPr id="5" name="Рисунок 5" descr="https://1otruda.ru/system/content/image/200/1/2782425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1otruda.ru/system/content/image/200/1/2782425/"/>
                    <pic:cNvPicPr>
                      <a:picLocks noChangeAspect="1" noChangeArrowheads="1"/>
                    </pic:cNvPicPr>
                  </pic:nvPicPr>
                  <pic:blipFill>
                    <a:blip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22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2" w:anchor="/document/99/499072756/XA00M6K2MC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Таблица 5 приложения № 20 к Методике проведения специ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альной оценки условий труда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утвержденной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3" w:anchor="/document/99/499072756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приказом Министерства труда и социальной защиты Российской Федерации от 24 января 2014 г. № 33н "Об утверждении Методики проведения специа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ее заполнению"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21 марта 201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4 г., регистрационный № 31689)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4" w:anchor="/document/99/420249062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приказами Министерства труда и социальной защиты Российской Федерации от 20 января 2015 г. № 24н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(зарегистрирован Министерством юстиции Российской Федерации 9 февраля 2015 г., регистрационный № 35927),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5" w:anchor="/document/99/420383913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14 ноября 2016 г. № 642н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ой Федерации 6 февраля 2017 г., регистрационный № 45539),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6" w:anchor="/document/99/564981068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27 апреля 2020 г. № 213н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21 августа 2020 г., регистрационны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>й № 59378).</w:t>
      </w:r>
    </w:p>
    <w:p w:rsidR="00000000" w:rsidRDefault="00715EC2">
      <w:pPr>
        <w:divId w:val="787549016"/>
        <w:rPr>
          <w:rFonts w:ascii="Helvetica" w:eastAsia="Times New Roman" w:hAnsi="Helvetica" w:cs="Helvetica"/>
          <w:sz w:val="13"/>
          <w:szCs w:val="13"/>
        </w:rPr>
      </w:pPr>
      <w:r>
        <w:rPr>
          <w:rFonts w:ascii="Helvetica" w:eastAsia="Times New Roman" w:hAnsi="Helvetica" w:cs="Helvetica"/>
          <w:noProof/>
          <w:sz w:val="13"/>
          <w:szCs w:val="13"/>
        </w:rPr>
        <w:drawing>
          <wp:inline distT="0" distB="0" distL="0" distR="0">
            <wp:extent cx="99060" cy="236220"/>
            <wp:effectExtent l="19050" t="0" r="0" b="0"/>
            <wp:docPr id="6" name="Рисунок 6" descr="https://1otruda.ru/system/content/image/200/1/278242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1otruda.ru/system/content/image/200/1/2782426/"/>
                    <pic:cNvPicPr>
                      <a:picLocks noChangeAspect="1" noChangeArrowheads="1"/>
                    </pic:cNvPicPr>
                  </pic:nvPicPr>
                  <pic:blipFill>
                    <a:blip r:link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" cy="236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17" w:anchor="/document/99/499072756/XA00M6K2MC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Таблица 5 приложения № 20 к Методике проведения специальной оценки условий труда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>, утвержденной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8" w:anchor="/document/99/499072756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 xml:space="preserve">приказом 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Министерства труда и социальной защиты Российской Федерации от 24 января 2014 г. № 33н "Об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ьной оценки условий труда и инструкции по ее заполнению"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21 марта 2014 г., регистрационный № 31689) с изменениями, внесенными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19" w:anchor="/document/99/420249062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приказами Министерства труда и социальной защиты Российской Федерации от 20 января 2015 г. № 24н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9 февраля 2015 г., регистрационный № 35927),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0" w:anchor="/document/99/420383913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14 ноября 2016 г. № 642н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6 февраля 2017 г., регистрационный № 45539),</w:t>
      </w:r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</w:t>
      </w:r>
      <w:hyperlink r:id="rId21" w:anchor="/document/99/564981068/XA00M6G2N3/" w:history="1">
        <w:r>
          <w:rPr>
            <w:rStyle w:val="a4"/>
            <w:rFonts w:ascii="Helvetica" w:eastAsia="Times New Roman" w:hAnsi="Helvetica" w:cs="Helvetica"/>
            <w:sz w:val="13"/>
            <w:szCs w:val="13"/>
          </w:rPr>
          <w:t>от 27 апреля 2020 г</w:t>
        </w:r>
        <w:r>
          <w:rPr>
            <w:rStyle w:val="a4"/>
            <w:rFonts w:ascii="Helvetica" w:eastAsia="Times New Roman" w:hAnsi="Helvetica" w:cs="Helvetica"/>
            <w:sz w:val="13"/>
            <w:szCs w:val="13"/>
          </w:rPr>
          <w:t>. № 213н</w:t>
        </w:r>
      </w:hyperlink>
      <w:r>
        <w:rPr>
          <w:rStyle w:val="docnote-text"/>
          <w:rFonts w:ascii="Helvetica" w:eastAsia="Times New Roman" w:hAnsi="Helvetica" w:cs="Helvetica"/>
          <w:sz w:val="13"/>
          <w:szCs w:val="13"/>
        </w:rPr>
        <w:t xml:space="preserve"> (зарегистрирован Министерством юстиции Российской Федерации 21 августа 2020 г., регистрационный № 59378).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lastRenderedPageBreak/>
        <w:t xml:space="preserve">11. При организации рабочего места (рабочей зоны) необходимо обеспечить обзор наблюдения с места выполнения работ, обеспечивающий восприятие </w:t>
      </w:r>
      <w:r>
        <w:rPr>
          <w:rFonts w:ascii="Georgia" w:hAnsi="Georgia"/>
          <w:sz w:val="19"/>
          <w:szCs w:val="19"/>
        </w:rPr>
        <w:t>визуальных средств отображения информации и знаков безопасности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12. Средства отображения информации должны учитывать частоту и значимость поступающей информации, тип средства отображения информации, точность и скорость слежения и считывания, размещаться в зонах, обеспечивающих восприятие информации, содержащейся в сред</w:t>
      </w:r>
      <w:r>
        <w:rPr>
          <w:rFonts w:ascii="Georgia" w:hAnsi="Georgia"/>
          <w:sz w:val="19"/>
          <w:szCs w:val="19"/>
        </w:rPr>
        <w:t>ствах отображения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13. Визуальные средства отображения информации должны иметь освещение, обеспечивающее восприятие отображаемой информации с места выполнения работ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14. Размещение органов управления машинами и оборудованием на рабочем месте (в рабочей зон</w:t>
      </w:r>
      <w:r>
        <w:rPr>
          <w:rFonts w:ascii="Georgia" w:hAnsi="Georgia"/>
          <w:sz w:val="19"/>
          <w:szCs w:val="19"/>
        </w:rPr>
        <w:t>е) должно обеспечивать соблюдение государственных требований охраны труда, в том числе учитывать рабочую позу работника, функциональное назначение органа управления, частоту применения, последовательность использования, функциональную связь с соответствующ</w:t>
      </w:r>
      <w:r>
        <w:rPr>
          <w:rFonts w:ascii="Georgia" w:hAnsi="Georgia"/>
          <w:sz w:val="19"/>
          <w:szCs w:val="19"/>
        </w:rPr>
        <w:t>ими средствами отображения информации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15. Расстояние между органами управления машинами и оборудованием должно исключать возможность произвольного изменения положения не задействованного органа управления при манипуляции с иным смежным органом управления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16. Машины, механизмы, производственное оборудование, являющиеся источником травмоопасности, в соответствии с требованиями технических регламентов должны оснащаться защитными ограждениями и блокировками, исключающими работу оборудования при снятии защитно</w:t>
      </w:r>
      <w:r>
        <w:rPr>
          <w:rFonts w:ascii="Georgia" w:hAnsi="Georgia"/>
          <w:sz w:val="19"/>
          <w:szCs w:val="19"/>
        </w:rPr>
        <w:t>го ограждения, при нахождении человека или частей его тела в зоне работы травмирующих частей и агрегатов, эксплуатация таких машин, механизмов, производственного оборудования должна осуществляться в соответствии с требованиями технической (эксплуатационной</w:t>
      </w:r>
      <w:r>
        <w:rPr>
          <w:rFonts w:ascii="Georgia" w:hAnsi="Georgia"/>
          <w:sz w:val="19"/>
          <w:szCs w:val="19"/>
        </w:rPr>
        <w:t>) документации и с соблюдением государственных требований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17. Участки и зоны, где работодателем по результатам проведенной им оценки профессиональных рисков определена высокая вероятность травмирования работников, должны быть обозначены разме</w:t>
      </w:r>
      <w:r>
        <w:rPr>
          <w:rFonts w:ascii="Georgia" w:hAnsi="Georgia"/>
          <w:sz w:val="19"/>
          <w:szCs w:val="19"/>
        </w:rPr>
        <w:t>ткой сигнальной и/или знаками безопасности с учетом государственных требований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18. Применение знаков безопасности и разметки сигнальной дополняется информированием работника всеми доступными работодателю способами, предусмотренными системой у</w:t>
      </w:r>
      <w:r>
        <w:rPr>
          <w:rFonts w:ascii="Georgia" w:hAnsi="Georgia"/>
          <w:sz w:val="19"/>
          <w:szCs w:val="19"/>
        </w:rPr>
        <w:t>правления охраной труда, в целях предупреждения или уменьшения воздействия на работников вредных и (или) опасных производственных факторов при осуществлении ими трудовой деятельности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19. Рабочее место (рабочая зона), при осуществлении на нем работ по подъ</w:t>
      </w:r>
      <w:r>
        <w:rPr>
          <w:rFonts w:ascii="Georgia" w:hAnsi="Georgia"/>
          <w:sz w:val="19"/>
          <w:szCs w:val="19"/>
        </w:rPr>
        <w:t>ему и перемещению людей и грузов оснащается вспомогательным подъемно-транспортным оборудованием (средствами) с учетом государственных требований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20. При организации рабочих мест их взаимное расположение и компоновка должны обеспечивать безопа</w:t>
      </w:r>
      <w:r>
        <w:rPr>
          <w:rFonts w:ascii="Georgia" w:hAnsi="Georgia"/>
          <w:sz w:val="19"/>
          <w:szCs w:val="19"/>
        </w:rPr>
        <w:t>сный доступ занятых на них работников на каждое рабочее место и возможность быстрой эвакуации работников при возникновении аварийной или иной чрезвычайной ситуации в соответствии с государственными требованиями охраны труда. Пути эвакуации и проходы должны</w:t>
      </w:r>
      <w:r>
        <w:rPr>
          <w:rFonts w:ascii="Georgia" w:hAnsi="Georgia"/>
          <w:sz w:val="19"/>
          <w:szCs w:val="19"/>
        </w:rPr>
        <w:t xml:space="preserve"> быть свободны для движения, обозначены соответствующими указателями и иметь освещенность, обеспечивающую их восприятие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divId w:val="663706594"/>
        <w:rPr>
          <w:rFonts w:ascii="Helvetica" w:eastAsia="Times New Roman" w:hAnsi="Helvetica" w:cs="Helvetica"/>
          <w:sz w:val="22"/>
          <w:szCs w:val="22"/>
        </w:rPr>
      </w:pPr>
      <w:r>
        <w:rPr>
          <w:rStyle w:val="docuntyped-number"/>
          <w:rFonts w:ascii="Helvetica" w:eastAsia="Times New Roman" w:hAnsi="Helvetica" w:cs="Helvetica"/>
          <w:sz w:val="22"/>
          <w:szCs w:val="22"/>
        </w:rPr>
        <w:t xml:space="preserve">III. 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Требования к безопасному содержанию рабочего мест</w:t>
      </w:r>
      <w:r>
        <w:rPr>
          <w:rStyle w:val="docuntyped-name"/>
          <w:rFonts w:ascii="Helvetica" w:eastAsia="Times New Roman" w:hAnsi="Helvetica" w:cs="Helvetica"/>
          <w:sz w:val="22"/>
          <w:szCs w:val="22"/>
        </w:rPr>
        <w:t>а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21. Рабочее место (рабочая зона) и взаимное расположение его элементов должны о</w:t>
      </w:r>
      <w:r>
        <w:rPr>
          <w:rFonts w:ascii="Georgia" w:hAnsi="Georgia"/>
          <w:sz w:val="19"/>
          <w:szCs w:val="19"/>
        </w:rPr>
        <w:t>беспечивать содержание, техническое обслуживание, уборку и чистку используемых на рабочем месте машин и оборудования, инструментов и мебели с учетом государственных требований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t>22. Организация и содержание рабочих мест, а также расстояния межд</w:t>
      </w:r>
      <w:r>
        <w:rPr>
          <w:rFonts w:ascii="Georgia" w:hAnsi="Georgia"/>
          <w:sz w:val="19"/>
          <w:szCs w:val="19"/>
        </w:rPr>
        <w:t>у рабочими местами (рабочими зонами) должны обеспечивать безопасное передвижение работников и транспортных средств, безопасные действия с сырьем, материалами, заготовками, полуфабрикатами при соблюдении государственных требований охраны труда</w:t>
      </w:r>
      <w:r>
        <w:rPr>
          <w:rFonts w:ascii="Georgia" w:hAnsi="Georgia"/>
          <w:sz w:val="19"/>
          <w:szCs w:val="19"/>
        </w:rPr>
        <w:t>.</w:t>
      </w:r>
    </w:p>
    <w:p w:rsidR="00000000" w:rsidRDefault="00715EC2">
      <w:pPr>
        <w:spacing w:after="223"/>
        <w:jc w:val="both"/>
        <w:divId w:val="87971449"/>
        <w:rPr>
          <w:rFonts w:ascii="Georgia" w:hAnsi="Georgia"/>
          <w:sz w:val="19"/>
          <w:szCs w:val="19"/>
        </w:rPr>
      </w:pP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br/>
      </w:r>
      <w:r>
        <w:rPr>
          <w:rFonts w:ascii="Georgia" w:hAnsi="Georgia"/>
          <w:sz w:val="19"/>
          <w:szCs w:val="19"/>
        </w:rPr>
        <w:lastRenderedPageBreak/>
        <w:br/>
      </w:r>
    </w:p>
    <w:p w:rsidR="00715EC2" w:rsidRDefault="00715EC2">
      <w:pPr>
        <w:divId w:val="2007976541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t>© Мате</w:t>
      </w:r>
      <w:r>
        <w:rPr>
          <w:rFonts w:ascii="Arial" w:eastAsia="Times New Roman" w:hAnsi="Arial" w:cs="Arial"/>
          <w:sz w:val="16"/>
          <w:szCs w:val="16"/>
        </w:rPr>
        <w:t>риал из Справочной системы «Охрана труда»</w:t>
      </w:r>
      <w:r>
        <w:rPr>
          <w:rFonts w:ascii="Arial" w:eastAsia="Times New Roman" w:hAnsi="Arial" w:cs="Arial"/>
          <w:sz w:val="16"/>
          <w:szCs w:val="16"/>
        </w:rPr>
        <w:br/>
        <w:t>https://1otruda.ru</w:t>
      </w:r>
      <w:r>
        <w:rPr>
          <w:rFonts w:ascii="Arial" w:eastAsia="Times New Roman" w:hAnsi="Arial" w:cs="Arial"/>
          <w:sz w:val="16"/>
          <w:szCs w:val="16"/>
        </w:rPr>
        <w:br/>
        <w:t>Дата копирования: 09.11.2023</w:t>
      </w:r>
    </w:p>
    <w:sectPr w:rsidR="00715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noPunctuationKerning/>
  <w:characterSpacingControl w:val="doNotCompress"/>
  <w:compat/>
  <w:rsids>
    <w:rsidRoot w:val="007E36AF"/>
    <w:rsid w:val="00715EC2"/>
    <w:rsid w:val="007E36AF"/>
    <w:rsid w:val="00E91E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" w:hAnsi="Arial" w:cs="Arial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  <w:style w:type="paragraph" w:customStyle="1" w:styleId="contentblock">
    <w:name w:val="content_block"/>
    <w:basedOn w:val="a"/>
    <w:pPr>
      <w:spacing w:after="223"/>
      <w:ind w:right="357"/>
      <w:jc w:val="both"/>
    </w:pPr>
    <w:rPr>
      <w:rFonts w:ascii="Georgia" w:hAnsi="Georgia"/>
      <w:sz w:val="19"/>
      <w:szCs w:val="19"/>
    </w:rPr>
  </w:style>
  <w:style w:type="paragraph" w:customStyle="1" w:styleId="references">
    <w:name w:val="references"/>
    <w:basedOn w:val="a"/>
    <w:pPr>
      <w:spacing w:after="223"/>
      <w:jc w:val="both"/>
    </w:pPr>
    <w:rPr>
      <w:vanish/>
    </w:rPr>
  </w:style>
  <w:style w:type="paragraph" w:customStyle="1" w:styleId="footer">
    <w:name w:val="footer"/>
    <w:basedOn w:val="a"/>
    <w:pPr>
      <w:spacing w:before="600"/>
      <w:jc w:val="both"/>
    </w:pPr>
    <w:rPr>
      <w:rFonts w:ascii="Arial" w:hAnsi="Arial" w:cs="Arial"/>
      <w:sz w:val="16"/>
      <w:szCs w:val="16"/>
    </w:rPr>
  </w:style>
  <w:style w:type="paragraph" w:customStyle="1" w:styleId="content">
    <w:name w:val="content"/>
    <w:basedOn w:val="a"/>
    <w:pPr>
      <w:spacing w:after="223"/>
      <w:jc w:val="both"/>
    </w:pPr>
  </w:style>
  <w:style w:type="character" w:customStyle="1" w:styleId="docreferences">
    <w:name w:val="doc__references"/>
    <w:basedOn w:val="a0"/>
    <w:rPr>
      <w:vanish/>
      <w:webHidden w:val="0"/>
      <w:specVanish w:val="0"/>
    </w:rPr>
  </w:style>
  <w:style w:type="paragraph" w:customStyle="1" w:styleId="content1">
    <w:name w:val="content1"/>
    <w:basedOn w:val="a"/>
    <w:pPr>
      <w:spacing w:before="100" w:beforeAutospacing="1" w:after="100" w:afterAutospacing="1"/>
    </w:pPr>
    <w:rPr>
      <w:sz w:val="17"/>
      <w:szCs w:val="17"/>
    </w:rPr>
  </w:style>
  <w:style w:type="paragraph" w:styleId="a3">
    <w:name w:val="Normal (Web)"/>
    <w:basedOn w:val="a"/>
    <w:uiPriority w:val="99"/>
    <w:semiHidden/>
    <w:unhideWhenUsed/>
    <w:pPr>
      <w:spacing w:after="223"/>
      <w:jc w:val="both"/>
    </w:pPr>
  </w:style>
  <w:style w:type="paragraph" w:customStyle="1" w:styleId="align-center">
    <w:name w:val="align-center"/>
    <w:basedOn w:val="a"/>
    <w:pPr>
      <w:spacing w:after="223"/>
      <w:jc w:val="center"/>
    </w:pPr>
  </w:style>
  <w:style w:type="paragraph" w:customStyle="1" w:styleId="align-right">
    <w:name w:val="align-right"/>
    <w:basedOn w:val="a"/>
    <w:pPr>
      <w:spacing w:after="223"/>
      <w:jc w:val="right"/>
    </w:pPr>
  </w:style>
  <w:style w:type="paragraph" w:customStyle="1" w:styleId="align-left">
    <w:name w:val="align-left"/>
    <w:basedOn w:val="a"/>
    <w:pPr>
      <w:spacing w:after="223"/>
    </w:pPr>
  </w:style>
  <w:style w:type="paragraph" w:customStyle="1" w:styleId="doc-parttypetitle">
    <w:name w:val="doc-part_type_title"/>
    <w:basedOn w:val="a"/>
    <w:pPr>
      <w:pBdr>
        <w:bottom w:val="single" w:sz="4" w:space="29" w:color="E5E5E5"/>
      </w:pBdr>
      <w:spacing w:after="195"/>
      <w:jc w:val="both"/>
    </w:pPr>
  </w:style>
  <w:style w:type="paragraph" w:customStyle="1" w:styleId="docprops">
    <w:name w:val="doc__props"/>
    <w:basedOn w:val="a"/>
    <w:pPr>
      <w:spacing w:after="223"/>
      <w:jc w:val="both"/>
    </w:pPr>
    <w:rPr>
      <w:rFonts w:ascii="Helvetica" w:hAnsi="Helvetica" w:cs="Helvetica"/>
      <w:sz w:val="16"/>
      <w:szCs w:val="16"/>
    </w:rPr>
  </w:style>
  <w:style w:type="paragraph" w:customStyle="1" w:styleId="doctype">
    <w:name w:val="doc__type"/>
    <w:basedOn w:val="a"/>
    <w:pPr>
      <w:spacing w:before="96" w:after="120"/>
      <w:jc w:val="both"/>
    </w:pPr>
    <w:rPr>
      <w:rFonts w:ascii="Helvetica" w:hAnsi="Helvetica" w:cs="Helvetica"/>
      <w:caps/>
      <w:spacing w:val="12"/>
      <w:sz w:val="12"/>
      <w:szCs w:val="12"/>
    </w:rPr>
  </w:style>
  <w:style w:type="paragraph" w:customStyle="1" w:styleId="docpart">
    <w:name w:val="doc__part"/>
    <w:basedOn w:val="a"/>
    <w:pPr>
      <w:spacing w:before="1228" w:after="997"/>
      <w:jc w:val="both"/>
    </w:pPr>
    <w:rPr>
      <w:rFonts w:ascii="Georgia" w:hAnsi="Georgia"/>
      <w:caps/>
      <w:spacing w:val="48"/>
      <w:sz w:val="31"/>
      <w:szCs w:val="31"/>
    </w:rPr>
  </w:style>
  <w:style w:type="paragraph" w:customStyle="1" w:styleId="docsection">
    <w:name w:val="doc__section"/>
    <w:basedOn w:val="a"/>
    <w:pPr>
      <w:spacing w:before="1140" w:after="797"/>
      <w:jc w:val="both"/>
    </w:pPr>
    <w:rPr>
      <w:rFonts w:ascii="Georgia" w:hAnsi="Georgia"/>
      <w:sz w:val="34"/>
      <w:szCs w:val="34"/>
    </w:rPr>
  </w:style>
  <w:style w:type="paragraph" w:customStyle="1" w:styleId="docsection-name">
    <w:name w:val="doc__section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section">
    <w:name w:val="doc__subsection"/>
    <w:basedOn w:val="a"/>
    <w:pPr>
      <w:spacing w:before="1070" w:after="420"/>
      <w:jc w:val="both"/>
    </w:pPr>
    <w:rPr>
      <w:rFonts w:ascii="Helvetica" w:hAnsi="Helvetica" w:cs="Helvetica"/>
      <w:b/>
      <w:bCs/>
      <w:spacing w:val="-12"/>
      <w:sz w:val="29"/>
      <w:szCs w:val="29"/>
    </w:rPr>
  </w:style>
  <w:style w:type="paragraph" w:customStyle="1" w:styleId="docchapter">
    <w:name w:val="doc__chapter"/>
    <w:basedOn w:val="a"/>
    <w:pPr>
      <w:spacing w:before="438" w:after="219"/>
      <w:jc w:val="both"/>
    </w:pPr>
    <w:rPr>
      <w:rFonts w:ascii="Georgia" w:hAnsi="Georgia"/>
      <w:sz w:val="28"/>
      <w:szCs w:val="28"/>
    </w:rPr>
  </w:style>
  <w:style w:type="paragraph" w:customStyle="1" w:styleId="docarticle">
    <w:name w:val="doc__article"/>
    <w:basedOn w:val="a"/>
    <w:pPr>
      <w:spacing w:before="30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paragraph">
    <w:name w:val="doc__paragraph"/>
    <w:basedOn w:val="a"/>
    <w:pPr>
      <w:spacing w:before="240" w:after="42"/>
      <w:jc w:val="both"/>
    </w:pPr>
    <w:rPr>
      <w:rFonts w:ascii="Georgia" w:hAnsi="Georgia"/>
      <w:sz w:val="28"/>
      <w:szCs w:val="28"/>
    </w:rPr>
  </w:style>
  <w:style w:type="paragraph" w:customStyle="1" w:styleId="docparagraph-name">
    <w:name w:val="doc__paragraph-name"/>
    <w:basedOn w:val="a"/>
    <w:pPr>
      <w:spacing w:after="223"/>
      <w:jc w:val="both"/>
    </w:pPr>
    <w:rPr>
      <w:rFonts w:ascii="Georgia" w:hAnsi="Georgia"/>
      <w:i/>
      <w:iCs/>
    </w:rPr>
  </w:style>
  <w:style w:type="paragraph" w:customStyle="1" w:styleId="docsubparagraph">
    <w:name w:val="doc__subparagraph"/>
    <w:basedOn w:val="a"/>
    <w:pPr>
      <w:spacing w:before="341" w:after="76"/>
      <w:jc w:val="both"/>
    </w:pPr>
    <w:rPr>
      <w:rFonts w:ascii="Helvetica" w:hAnsi="Helvetica" w:cs="Helvetica"/>
      <w:sz w:val="23"/>
      <w:szCs w:val="23"/>
    </w:rPr>
  </w:style>
  <w:style w:type="paragraph" w:customStyle="1" w:styleId="docuntyped">
    <w:name w:val="doc__untyped"/>
    <w:basedOn w:val="a"/>
    <w:pPr>
      <w:spacing w:before="320" w:after="240"/>
      <w:jc w:val="both"/>
    </w:pPr>
    <w:rPr>
      <w:rFonts w:ascii="Helvetica" w:hAnsi="Helvetica" w:cs="Helvetica"/>
      <w:sz w:val="22"/>
      <w:szCs w:val="22"/>
    </w:rPr>
  </w:style>
  <w:style w:type="paragraph" w:customStyle="1" w:styleId="docnote">
    <w:name w:val="doc__note"/>
    <w:basedOn w:val="a"/>
    <w:pPr>
      <w:spacing w:after="611"/>
      <w:ind w:left="873"/>
      <w:jc w:val="both"/>
    </w:pPr>
    <w:rPr>
      <w:rFonts w:ascii="Helvetica" w:hAnsi="Helvetica" w:cs="Helvetica"/>
      <w:sz w:val="13"/>
      <w:szCs w:val="13"/>
    </w:rPr>
  </w:style>
  <w:style w:type="paragraph" w:customStyle="1" w:styleId="doc-notes">
    <w:name w:val="doc-notes"/>
    <w:basedOn w:val="a"/>
    <w:pPr>
      <w:spacing w:after="223"/>
      <w:jc w:val="both"/>
    </w:pPr>
    <w:rPr>
      <w:vanish/>
    </w:rPr>
  </w:style>
  <w:style w:type="paragraph" w:customStyle="1" w:styleId="docsignature">
    <w:name w:val="doc__signature"/>
    <w:basedOn w:val="a"/>
    <w:pPr>
      <w:spacing w:before="223" w:after="223"/>
      <w:jc w:val="both"/>
    </w:pPr>
  </w:style>
  <w:style w:type="paragraph" w:customStyle="1" w:styleId="docquestion">
    <w:name w:val="doc__question"/>
    <w:basedOn w:val="a"/>
    <w:pPr>
      <w:shd w:val="clear" w:color="auto" w:fill="FBF9EF"/>
      <w:spacing w:after="600"/>
      <w:jc w:val="both"/>
    </w:pPr>
  </w:style>
  <w:style w:type="paragraph" w:customStyle="1" w:styleId="docquestion-title">
    <w:name w:val="doc__question-title"/>
    <w:basedOn w:val="a"/>
    <w:pPr>
      <w:spacing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doc-start">
    <w:name w:val="doc-start"/>
    <w:basedOn w:val="a"/>
    <w:pPr>
      <w:spacing w:after="223"/>
      <w:jc w:val="both"/>
    </w:pPr>
  </w:style>
  <w:style w:type="paragraph" w:customStyle="1" w:styleId="docexpired">
    <w:name w:val="doc__expired"/>
    <w:basedOn w:val="a"/>
    <w:pPr>
      <w:spacing w:after="223"/>
      <w:jc w:val="both"/>
    </w:pPr>
    <w:rPr>
      <w:color w:val="CCCCCC"/>
    </w:rPr>
  </w:style>
  <w:style w:type="paragraph" w:customStyle="1" w:styleId="content2">
    <w:name w:val="content2"/>
    <w:basedOn w:val="a"/>
    <w:pPr>
      <w:spacing w:after="223"/>
      <w:jc w:val="both"/>
    </w:pPr>
    <w:rPr>
      <w:sz w:val="17"/>
      <w:szCs w:val="17"/>
    </w:rPr>
  </w:style>
  <w:style w:type="paragraph" w:customStyle="1" w:styleId="docarticle1">
    <w:name w:val="doc__article1"/>
    <w:basedOn w:val="a"/>
    <w:pPr>
      <w:spacing w:before="120" w:after="30"/>
      <w:jc w:val="both"/>
    </w:pPr>
    <w:rPr>
      <w:rFonts w:ascii="Helvetica" w:hAnsi="Helvetica" w:cs="Helvetica"/>
      <w:b/>
      <w:bCs/>
      <w:sz w:val="19"/>
      <w:szCs w:val="19"/>
    </w:rPr>
  </w:style>
  <w:style w:type="paragraph" w:customStyle="1" w:styleId="printredaction-line">
    <w:name w:val="print_redaction-line"/>
    <w:basedOn w:val="a"/>
    <w:pPr>
      <w:spacing w:after="223"/>
      <w:jc w:val="both"/>
    </w:p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character" w:customStyle="1" w:styleId="docuntyped-name">
    <w:name w:val="doc__untyped-name"/>
    <w:basedOn w:val="a0"/>
  </w:style>
  <w:style w:type="character" w:customStyle="1" w:styleId="docuntyped-number">
    <w:name w:val="doc__untyped-number"/>
    <w:basedOn w:val="a0"/>
  </w:style>
  <w:style w:type="character" w:customStyle="1" w:styleId="docnote-number">
    <w:name w:val="doc__note-number"/>
    <w:basedOn w:val="a0"/>
  </w:style>
  <w:style w:type="character" w:customStyle="1" w:styleId="docnote-text">
    <w:name w:val="doc__note-text"/>
    <w:basedOn w:val="a0"/>
  </w:style>
  <w:style w:type="paragraph" w:styleId="a6">
    <w:name w:val="Balloon Text"/>
    <w:basedOn w:val="a"/>
    <w:link w:val="a7"/>
    <w:uiPriority w:val="99"/>
    <w:semiHidden/>
    <w:unhideWhenUsed/>
    <w:rsid w:val="00E91E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1EF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76607">
      <w:marLeft w:val="0"/>
      <w:marRight w:val="3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5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1449">
          <w:marLeft w:val="0"/>
          <w:marRight w:val="0"/>
          <w:marTop w:val="3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2760">
              <w:marLeft w:val="0"/>
              <w:marRight w:val="0"/>
              <w:marTop w:val="223"/>
              <w:marBottom w:val="22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58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7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269865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573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896835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764606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199453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549016">
              <w:marLeft w:val="873"/>
              <w:marRight w:val="0"/>
              <w:marTop w:val="0"/>
              <w:marBottom w:val="61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706594">
              <w:marLeft w:val="0"/>
              <w:marRight w:val="0"/>
              <w:marTop w:val="32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7976541">
      <w:marLeft w:val="0"/>
      <w:marRight w:val="0"/>
      <w:marTop w:val="6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1otruda.ru/system/content/image/200/1/2782424/" TargetMode="External"/><Relationship Id="rId13" Type="http://schemas.openxmlformats.org/officeDocument/2006/relationships/hyperlink" Target="https://1otruda.ru/" TargetMode="External"/><Relationship Id="rId18" Type="http://schemas.openxmlformats.org/officeDocument/2006/relationships/hyperlink" Target="https://1otruda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truda.ru/" TargetMode="External"/><Relationship Id="rId7" Type="http://schemas.openxmlformats.org/officeDocument/2006/relationships/hyperlink" Target="https://1otruda.ru/" TargetMode="External"/><Relationship Id="rId12" Type="http://schemas.openxmlformats.org/officeDocument/2006/relationships/hyperlink" Target="https://1otruda.ru/" TargetMode="External"/><Relationship Id="rId17" Type="http://schemas.openxmlformats.org/officeDocument/2006/relationships/hyperlink" Target="https://1otruda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truda.ru/" TargetMode="External"/><Relationship Id="rId20" Type="http://schemas.openxmlformats.org/officeDocument/2006/relationships/hyperlink" Target="https://1otruda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truda.ru/" TargetMode="External"/><Relationship Id="rId11" Type="http://schemas.openxmlformats.org/officeDocument/2006/relationships/image" Target="https://1otruda.ru/system/content/image/200/1/2782426/" TargetMode="External"/><Relationship Id="rId5" Type="http://schemas.openxmlformats.org/officeDocument/2006/relationships/hyperlink" Target="https://1otruda.ru/" TargetMode="External"/><Relationship Id="rId15" Type="http://schemas.openxmlformats.org/officeDocument/2006/relationships/hyperlink" Target="https://1otruda.ru/" TargetMode="External"/><Relationship Id="rId23" Type="http://schemas.openxmlformats.org/officeDocument/2006/relationships/theme" Target="theme/theme1.xml"/><Relationship Id="rId10" Type="http://schemas.openxmlformats.org/officeDocument/2006/relationships/image" Target="https://1otruda.ru/system/content/image/200/1/2782425/" TargetMode="External"/><Relationship Id="rId19" Type="http://schemas.openxmlformats.org/officeDocument/2006/relationships/hyperlink" Target="https://1otruda.ru/" TargetMode="External"/><Relationship Id="rId4" Type="http://schemas.openxmlformats.org/officeDocument/2006/relationships/hyperlink" Target="https://1otruda.ru/" TargetMode="External"/><Relationship Id="rId9" Type="http://schemas.openxmlformats.org/officeDocument/2006/relationships/hyperlink" Target="https://1otruda.ru/" TargetMode="External"/><Relationship Id="rId14" Type="http://schemas.openxmlformats.org/officeDocument/2006/relationships/hyperlink" Target="https://1otrud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1903</Words>
  <Characters>10850</Characters>
  <Application>Microsoft Office Word</Application>
  <DocSecurity>0</DocSecurity>
  <Lines>90</Lines>
  <Paragraphs>25</Paragraphs>
  <ScaleCrop>false</ScaleCrop>
  <Company/>
  <LinksUpToDate>false</LinksUpToDate>
  <CharactersWithSpaces>12728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ovr</dc:creator>
  <cp:lastModifiedBy>ovr</cp:lastModifiedBy>
  <cp:revision>2</cp:revision>
  <dcterms:created xsi:type="dcterms:W3CDTF">2023-11-09T07:16:00Z</dcterms:created>
  <dcterms:modified xsi:type="dcterms:W3CDTF">2023-11-09T07:16:00Z</dcterms:modified>
</cp:coreProperties>
</file>