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2D91">
      <w:pPr>
        <w:pStyle w:val="printredaction-line"/>
        <w:divId w:val="170697702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сен 2023</w:t>
      </w:r>
    </w:p>
    <w:p w:rsidR="00000000" w:rsidRDefault="00862D91">
      <w:pPr>
        <w:divId w:val="27888253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Минтранса России от 28.09.2022 № 390</w:t>
      </w:r>
    </w:p>
    <w:p w:rsidR="00000000" w:rsidRDefault="00862D91">
      <w:pPr>
        <w:pStyle w:val="2"/>
        <w:divId w:val="17069770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состава сведений, указанных в части 3 статьи 6 Федерального закона от 8 ноября 2007 г. № 259-ФЗ "Устав автомобильного транспорта и городского наземного электрического транспорта", и порядка оформления или формирования путевого листа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</w:t>
      </w:r>
      <w:r>
        <w:rPr>
          <w:rFonts w:ascii="Georgia" w:hAnsi="Georgia"/>
          <w:sz w:val="19"/>
          <w:szCs w:val="19"/>
        </w:rPr>
        <w:t>тствии с частью 5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2070572/XA00MB42NC/" w:history="1">
        <w:r>
          <w:rPr>
            <w:rStyle w:val="a4"/>
            <w:rFonts w:ascii="Georgia" w:hAnsi="Georgia"/>
            <w:sz w:val="19"/>
            <w:szCs w:val="19"/>
          </w:rPr>
          <w:t>статьи 6 Федерального закона от 8 ноября 2007 г. № 259-ФЗ "Устав автомобильного транспорта и городского наземного электрического транспорта"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</w:t>
      </w:r>
      <w:r>
        <w:rPr>
          <w:rFonts w:ascii="Georgia" w:hAnsi="Georgia"/>
          <w:sz w:val="19"/>
          <w:szCs w:val="19"/>
        </w:rPr>
        <w:t>ьства Российской Федерации, 2007, № 46, ст.5555; 2022, № 10, ст.1396)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1904702/XA00M2O2MP/" w:history="1">
        <w:r>
          <w:rPr>
            <w:rStyle w:val="a4"/>
            <w:rFonts w:ascii="Georgia" w:hAnsi="Georgia"/>
            <w:sz w:val="19"/>
            <w:szCs w:val="19"/>
          </w:rPr>
          <w:t>пунктом 1 Положения о Министерстве транспорта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1904702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30 июля 2004 г. № 395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2004, № 32, ст.3342; 2019, № 1, ст.10),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прилагаемый </w:t>
      </w:r>
      <w:hyperlink r:id="rId7" w:anchor="/document/99/352337145/XA00LVA2M9/" w:tgtFrame="_self" w:history="1">
        <w:r>
          <w:rPr>
            <w:rStyle w:val="a4"/>
            <w:rFonts w:ascii="Georgia" w:hAnsi="Georgia"/>
            <w:sz w:val="19"/>
            <w:szCs w:val="19"/>
          </w:rPr>
          <w:t>состав сведений, указанных в части 3 статьи 6 Федерального закона от 8 ноября 2007 г. № 259-ФЗ "Устав автомобильного транспорта и городского наземного электрического транспо</w:t>
        </w:r>
        <w:r>
          <w:rPr>
            <w:rStyle w:val="a4"/>
            <w:rFonts w:ascii="Georgia" w:hAnsi="Georgia"/>
            <w:sz w:val="19"/>
            <w:szCs w:val="19"/>
          </w:rPr>
          <w:t>рта" и порядок оформления или формирования путевого листа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 силу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566085692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транспорта Российской Федерации от 11 сентября 2020 г. № 368 "Об утвержде</w:t>
        </w:r>
        <w:r>
          <w:rPr>
            <w:rStyle w:val="a4"/>
            <w:rFonts w:ascii="Georgia" w:hAnsi="Georgia"/>
            <w:sz w:val="19"/>
            <w:szCs w:val="19"/>
          </w:rPr>
          <w:t>нии обязательных реквизитов и порядка заполнения путевых листов"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Минюстом России 30 октября 2020 г., регистрационный № 60678)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силу с 1 марта 2023 г. и действует до 1 марта 2029 г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divId w:val="14840817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В.Г.Савельев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862D91">
      <w:pPr>
        <w:spacing w:after="223"/>
        <w:jc w:val="both"/>
        <w:divId w:val="735786135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</w:t>
      </w:r>
      <w:r>
        <w:rPr>
          <w:rFonts w:ascii="Helvetica" w:hAnsi="Helvetica" w:cs="Helvetica"/>
          <w:sz w:val="16"/>
          <w:szCs w:val="16"/>
        </w:rPr>
        <w:t>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29 ноября 2022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7119</w:t>
      </w:r>
      <w:r>
        <w:rPr>
          <w:rFonts w:ascii="Helvetica" w:hAnsi="Helvetica" w:cs="Helvetica"/>
          <w:sz w:val="16"/>
          <w:szCs w:val="16"/>
        </w:rPr>
        <w:t>2</w:t>
      </w:r>
    </w:p>
    <w:p w:rsidR="00000000" w:rsidRDefault="00862D91">
      <w:pPr>
        <w:pStyle w:val="align-right"/>
        <w:divId w:val="287979792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приказом Минтранса России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28 сентября 2022 года № 390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862D91">
      <w:pPr>
        <w:divId w:val="94911998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Состав свед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ений, указанных в части 3 статьи 6 Федерального закона от 8 ноября 2007 г. № 259-ФЗ "Устав автомобильного транспорта и городского наземного электрического транспорта", и порядок оформления или формирования путевого лист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862D91">
      <w:pPr>
        <w:divId w:val="174680069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Состав сведений путевого лист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 Путевой лист должен содержать следующие сведения о</w:t>
      </w:r>
      <w:r>
        <w:rPr>
          <w:rFonts w:ascii="Georgia" w:hAnsi="Georgia"/>
          <w:sz w:val="19"/>
          <w:szCs w:val="19"/>
        </w:rPr>
        <w:t>: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сроке действия путевого листа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лице, оформившем путевой лист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транспортном средстве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водителе (водителях)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виде перевозки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виде сообщения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Собственник (владел</w:t>
      </w:r>
      <w:r>
        <w:rPr>
          <w:rFonts w:ascii="Georgia" w:hAnsi="Georgia"/>
          <w:sz w:val="19"/>
          <w:szCs w:val="19"/>
        </w:rPr>
        <w:t>ец) транспортного средства вправе включать в путевой лист дополнительные сведения, учитывающие особенности осуществления им деятельности, связанной с перевозкой пассажиров и багажа, грузов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Сведения о сроке действия путевого листа должны включать дату (</w:t>
      </w:r>
      <w:r>
        <w:rPr>
          <w:rFonts w:ascii="Georgia" w:hAnsi="Georgia"/>
          <w:sz w:val="19"/>
          <w:szCs w:val="19"/>
        </w:rPr>
        <w:t>число, месяц, год), в течение которой путевой лист может быть использован, а в случае если путевой лист оформляется более чем на один календарный день - даты (число, месяц, год) начала и окончания срока, в течение которого путевой лист может быть использов</w:t>
      </w:r>
      <w:r>
        <w:rPr>
          <w:rFonts w:ascii="Georgia" w:hAnsi="Georgia"/>
          <w:sz w:val="19"/>
          <w:szCs w:val="19"/>
        </w:rPr>
        <w:t>ан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Сведения о лице, оформившем путевой лист, должны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юридического лица - полное наименование, адрес в пределах местонахождения, номер телефона, основной государственный регистрационный номер юридического лица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индивидуального предприни</w:t>
      </w:r>
      <w:r>
        <w:rPr>
          <w:rFonts w:ascii="Georgia" w:hAnsi="Georgia"/>
          <w:sz w:val="19"/>
          <w:szCs w:val="19"/>
        </w:rPr>
        <w:t>мателя - фамилию, имя, отчество (при наличии), адрес регистрации по месту жительства, номер телефона, основной государственный регистрационный номер индивидуального предпринимателя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физического лица, которое не является индивидуальным предпринимателем</w:t>
      </w:r>
      <w:r>
        <w:rPr>
          <w:rFonts w:ascii="Georgia" w:hAnsi="Georgia"/>
          <w:sz w:val="19"/>
          <w:szCs w:val="19"/>
        </w:rPr>
        <w:t xml:space="preserve"> и которому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(далее - физическое лицо)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1" name="Рисунок 1" descr="https://1otruda.ru/system/content/image/200/1/28386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838696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- фамилию, имя, отчество (при наличии), адрес регистрации по мес</w:t>
      </w:r>
      <w:r>
        <w:rPr>
          <w:rFonts w:ascii="Georgia" w:hAnsi="Georgia"/>
          <w:sz w:val="19"/>
          <w:szCs w:val="19"/>
        </w:rPr>
        <w:t>ту жительства, номер телефона, идентификационный номер налогоплательщика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divId w:val="120475715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220980" cy="220980"/>
            <wp:effectExtent l="19050" t="0" r="7620" b="0"/>
            <wp:docPr id="2" name="Рисунок 2" descr="https://1otruda.ru/system/content/image/200/1/28386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2838696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Пункт 37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0" w:anchor="/document/99/902070572/XA00MBC2NF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части 1 статьи 2 Федерального закона от 8 ноября 2007 г. № 259-ФЗ "Устав автомобильного транспорта и городского наземного электрического транспорта"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1" w:anchor="/document/99/1300427130/XA00M642MA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5 части 1 статьи 11 Фе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дерального закона от 29 декабря 2022 г.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ний законодательных актов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(Сноска дополнительно включена с 1 сентября 2023 года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1301699479/XA00M2O2MP/" w:history="1">
        <w:r>
          <w:rPr>
            <w:rStyle w:val="a4"/>
            <w:rFonts w:ascii="Georgia" w:hAnsi="Georgia"/>
            <w:sz w:val="19"/>
            <w:szCs w:val="19"/>
          </w:rPr>
          <w:t>приказом Минтранса России от 5 мая 2023 года № 159</w:t>
        </w:r>
      </w:hyperlink>
      <w:r>
        <w:rPr>
          <w:rFonts w:ascii="Georgia" w:hAnsi="Georgia"/>
          <w:sz w:val="19"/>
          <w:szCs w:val="19"/>
        </w:rPr>
        <w:t>)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Сведения о тран</w:t>
      </w:r>
      <w:r>
        <w:rPr>
          <w:rFonts w:ascii="Georgia" w:hAnsi="Georgia"/>
          <w:sz w:val="19"/>
          <w:szCs w:val="19"/>
        </w:rPr>
        <w:t>спортном средстве должны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тип транспортного средства, марку и модель транспортного средства согласно паспорту транспортного средства, а в случае если транспортное средство используется с прицепом (полуприцепом) - марку и модель прицепа (полуприцепа)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государственный регистрац</w:t>
      </w:r>
      <w:r>
        <w:rPr>
          <w:rFonts w:ascii="Georgia" w:hAnsi="Georgia"/>
          <w:sz w:val="19"/>
          <w:szCs w:val="19"/>
        </w:rPr>
        <w:t>ионный номер транспортного средства, а в случае если транспортное средство используется с прицепом (полуприцепом) - его регистрационный номер, и/или инвентарный номер (для троллейбусов и трамваев)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дату (число, месяц, год), время (часы, минуты) и резуль</w:t>
      </w:r>
      <w:r>
        <w:rPr>
          <w:rFonts w:ascii="Georgia" w:hAnsi="Georgia"/>
          <w:sz w:val="19"/>
          <w:szCs w:val="19"/>
        </w:rPr>
        <w:t>тат проведения предрейсового или предсменного контроля технического состояния транспортного средства (если обязательность его проведения предусмотрена законодательством Российской Федерации)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дату (число, месяц, год) и время (часы, минуты) выпуска транс</w:t>
      </w:r>
      <w:r>
        <w:rPr>
          <w:rFonts w:ascii="Georgia" w:hAnsi="Georgia"/>
          <w:sz w:val="19"/>
          <w:szCs w:val="19"/>
        </w:rPr>
        <w:t>портного средства на линию и его возвращения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показания одометра (полные километры пробега):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выпуске транспортного средства на линию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возвращении транспортного средства с линии по завершении последнего рейса или при выполнении последнего заказа</w:t>
      </w:r>
      <w:r>
        <w:rPr>
          <w:rFonts w:ascii="Georgia" w:hAnsi="Georgia"/>
          <w:sz w:val="19"/>
          <w:szCs w:val="19"/>
        </w:rPr>
        <w:t xml:space="preserve"> легкового такси физическими лицами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приеме-сдаче транспортного средства последующему водителю по окончании рабочего дня (смены) предыдущего водителя (в случае оформления нескольких путевых листов на бумажных носителях на одно транспортное средство)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</w:t>
      </w:r>
      <w:r>
        <w:rPr>
          <w:rFonts w:ascii="Georgia" w:hAnsi="Georgia"/>
          <w:sz w:val="19"/>
          <w:szCs w:val="19"/>
        </w:rPr>
        <w:t>. Сведения о водителе (водителях) транспортного средства должны включать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фамилию, имя, отчество (при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серию, номер и дату выдачи водительского удостоверения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3) страховой номер индивидуального лицевого счета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дату (число, месяц, год), в</w:t>
      </w:r>
      <w:r>
        <w:rPr>
          <w:rFonts w:ascii="Georgia" w:hAnsi="Georgia"/>
          <w:sz w:val="19"/>
          <w:szCs w:val="19"/>
        </w:rPr>
        <w:t>ремя (часы, минуты), результат проведения предсменного, предрейсового и послесменного, послерейсового медицинского осмотра (если обязательность проведения послерейсового, послесменного медицинского осмотра предусмотрена законодательством Российской Федерац</w:t>
      </w:r>
      <w:r>
        <w:rPr>
          <w:rFonts w:ascii="Georgia" w:hAnsi="Georgia"/>
          <w:sz w:val="19"/>
          <w:szCs w:val="19"/>
        </w:rPr>
        <w:t>ии)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Сведения о виде перевозки должны включать информацию о перевозке</w:t>
      </w:r>
      <w:r>
        <w:rPr>
          <w:rFonts w:ascii="Georgia" w:hAnsi="Georgia"/>
          <w:sz w:val="19"/>
          <w:szCs w:val="19"/>
        </w:rPr>
        <w:t>: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коммерческие перевозки: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регулярная перевозка пассажиров и багажа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перевозка грузов на основании договора перевозки грузов или договора фрахтования (в том числе по договору аренды</w:t>
      </w:r>
      <w:r>
        <w:rPr>
          <w:rFonts w:ascii="Georgia" w:hAnsi="Georgia"/>
          <w:sz w:val="19"/>
          <w:szCs w:val="19"/>
        </w:rPr>
        <w:t xml:space="preserve"> транспортного средства с экипажем)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перевозка пассажиров и багажа по заказу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перевозка пассажиров и багажа легковым такси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организованная перевозка групп детей автобусами (если организованная перевозка группы детей осуществляется по договору фрахтования)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перевозки для собственных нужд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передвижение и работа специальных транспортных средств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8600"/>
            <wp:effectExtent l="19050" t="0" r="0" b="0"/>
            <wp:docPr id="3" name="Рисунок 3" descr="https://1otruda.ru/system/content/image/200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2823654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divId w:val="70152084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8600"/>
            <wp:effectExtent l="19050" t="0" r="0" b="0"/>
            <wp:docPr id="4" name="Рисунок 4" descr="https://1otruda.ru/system/content/image/200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2823654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anchor="/document/99/902320557/XA00M3G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6 технического регламента Таможенного союза "О безопасности колесных транспортных средств" ТР ТС 018/2011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утвержденного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5" w:anchor="/document/99/902320285/XA00M6A2MF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Комиссии Таможенного союза от 9 декабря 2011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 г. № 877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(опубликовано 15 декабря 2011 г. на официальном сайте Евразийской экономической комиссии www.eurasiancommission.org в информационно-телекоммуникационной сети "Интернет"), являющимся обязательным для Российской Федерации в соответствии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6" w:anchor="/document/99/901782780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Договором об учреждении Евразийского экономического сообщества от 10 октября 2000 г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(Собрание законодательства Российской Федерации, 2002, № 7, ст.632);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7" w:anchor="/document/99/420205962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Договором о Евразийском экономическом союзе от 29 мая 2014 г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., ратифицированным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8" w:anchor="/document/99/420224346/Z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Федеральным законом от 3 октября 2014 г. № 279-ФЗ "О ратификации Догов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ора о Евразийском экономическом союзе"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2014, № 40, ст.5310).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Сведения о виде сообщения должны включать информацию о виде сообщения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городское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пригородное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междугородное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divId w:val="196800392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Порядок оформления 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ли формирования путевого лист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Путевой лист должен быть оформлен на бумажном носителе или сформирован в виде электронного путевого листа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Путевой лист должен быть оформлен или сформирован собственником (владельцем) транспортного средства на каждое транспортное средство, осуществляющее движение по дорогам при перевозке пассажиров и багажа, грузов в городском, пригородном и междугородном с</w:t>
      </w:r>
      <w:r>
        <w:rPr>
          <w:rFonts w:ascii="Georgia" w:hAnsi="Georgia"/>
          <w:sz w:val="19"/>
          <w:szCs w:val="19"/>
        </w:rPr>
        <w:t>ообщениях. В случае если транспортное средство предоставлено во временное владение и пользование за плату по договору аренды транспортного средства с экипажем, путевой лист должен быть оформлен арендодателем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Путевой лист должен быть оформлен или сформ</w:t>
      </w:r>
      <w:r>
        <w:rPr>
          <w:rFonts w:ascii="Georgia" w:hAnsi="Georgia"/>
          <w:sz w:val="19"/>
          <w:szCs w:val="19"/>
        </w:rPr>
        <w:t>ирован до выпуска транспортного средства на линию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оформление или формирование одного путевого листа на один рейс, если длительность рейса превышает продолжительность рабочего дня (смены) водителя (водителей)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оформление нескольких путевых лис</w:t>
      </w:r>
      <w:r>
        <w:rPr>
          <w:rFonts w:ascii="Georgia" w:hAnsi="Georgia"/>
          <w:sz w:val="19"/>
          <w:szCs w:val="19"/>
        </w:rPr>
        <w:t>тов на бумажных носителях на одно транспортное средство раздельно на каждого водителя, в том числе на каждого последующего водителя после выпуска транспортного средства на линию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оформление или формирование одного путевого листа на несколько рейсов, если в</w:t>
      </w:r>
      <w:r>
        <w:rPr>
          <w:rFonts w:ascii="Georgia" w:hAnsi="Georgia"/>
          <w:sz w:val="19"/>
          <w:szCs w:val="19"/>
        </w:rPr>
        <w:t xml:space="preserve"> течение рабочего дня (смены) водитель транспортного средства совершает один или несколько рейсов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внесение изменений в сведения о водителе (водителях) транспортного средства, а также о марках, моделях прицепов (полуприцепов) и их регистрационных номерах, </w:t>
      </w:r>
      <w:r>
        <w:rPr>
          <w:rFonts w:ascii="Georgia" w:hAnsi="Georgia"/>
          <w:sz w:val="19"/>
          <w:szCs w:val="19"/>
        </w:rPr>
        <w:t>в случае формирования электронного путевого листа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Даты, время и результат проведения предсменного, предрейсового медицинского осмотра, проводимого перед началом рабочего дня (смены, рейса), и послесменного, послерейсового медицинского осмотра водителя</w:t>
      </w:r>
      <w:r>
        <w:rPr>
          <w:rFonts w:ascii="Georgia" w:hAnsi="Georgia"/>
          <w:sz w:val="19"/>
          <w:szCs w:val="19"/>
        </w:rPr>
        <w:t>, проводимого по окончании рабочего дня (смены, рейса), должны быть проставлены медицинским работником, проводившим соответствующий осмотр, с указанием фамилии, имени и отчества (при наличии) медицинского работника, наименования медицинской организации (ес</w:t>
      </w:r>
      <w:r>
        <w:rPr>
          <w:rFonts w:ascii="Georgia" w:hAnsi="Georgia"/>
          <w:sz w:val="19"/>
          <w:szCs w:val="19"/>
        </w:rPr>
        <w:t>ли медицинский работник состоит в штате медицинской организации), и заверены его собственноручной подписью на бумажном носителе либо усиленной квалифицированной электронной подписью (далее - УКЭП) в случае формирования электронного путевого листа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Результа</w:t>
      </w:r>
      <w:r>
        <w:rPr>
          <w:rFonts w:ascii="Georgia" w:hAnsi="Georgia"/>
          <w:sz w:val="19"/>
          <w:szCs w:val="19"/>
        </w:rPr>
        <w:t>тами проведения предсменных, предрейсовых, послесменных, послерейсовых медицинских осмотров являются медицинские заключения, подтверждаемые отметками, проставляемыми медицинскими работниками в путевых листах, согласно порядку и периодичности проведения пре</w:t>
      </w:r>
      <w:r>
        <w:rPr>
          <w:rFonts w:ascii="Georgia" w:hAnsi="Georgia"/>
          <w:sz w:val="19"/>
          <w:szCs w:val="19"/>
        </w:rPr>
        <w:t>дсменных, предрейсовых, послесменных, послерейсовых медицинских осмотров, медицинских осмотров в течение рабочего дня (смены) и перечню включаемых в них исследований, утвержденным Минздравом России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9" w:anchor="/document/99/902312609/XA00M7U2MF/" w:history="1">
        <w:r>
          <w:rPr>
            <w:rStyle w:val="a4"/>
            <w:rFonts w:ascii="Georgia" w:hAnsi="Georgia"/>
            <w:sz w:val="19"/>
            <w:szCs w:val="19"/>
          </w:rPr>
          <w:t>частями 7</w:t>
        </w:r>
      </w:hyperlink>
      <w:r>
        <w:rPr>
          <w:rFonts w:ascii="Georgia" w:hAnsi="Georgia"/>
          <w:sz w:val="19"/>
          <w:szCs w:val="19"/>
        </w:rPr>
        <w:t xml:space="preserve"> и 8</w:t>
      </w:r>
      <w:r>
        <w:rPr>
          <w:rFonts w:ascii="Georgia" w:hAnsi="Georgia"/>
          <w:sz w:val="19"/>
          <w:szCs w:val="19"/>
        </w:rPr>
        <w:t xml:space="preserve"> </w:t>
      </w:r>
      <w:hyperlink r:id="rId20" w:anchor="/document/99/902312609/XA00MCO2NQ/" w:history="1">
        <w:r>
          <w:rPr>
            <w:rStyle w:val="a4"/>
            <w:rFonts w:ascii="Georgia" w:hAnsi="Georgia"/>
            <w:sz w:val="19"/>
            <w:szCs w:val="19"/>
          </w:rPr>
          <w:t>статьи 46 Федерального закона от 21 ноября 2011 г. № 323-ФЗ "Об основах охраны здоровья граждан в Российской Федерации"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проведения предсменного, предрейсового, послесменного, послерейсового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</w:t>
      </w:r>
      <w:r>
        <w:rPr>
          <w:rFonts w:ascii="Georgia" w:hAnsi="Georgia"/>
          <w:sz w:val="19"/>
          <w:szCs w:val="19"/>
        </w:rPr>
        <w:t>нтроль состояния их здоровья, отдельные реквизиты путевого листа должны быть сформированы согласно требованиям, установленным Правительством Российской Федерации в соответствии с частью 12</w:t>
      </w:r>
      <w:r>
        <w:rPr>
          <w:rFonts w:ascii="Georgia" w:hAnsi="Georgia"/>
          <w:sz w:val="19"/>
          <w:szCs w:val="19"/>
        </w:rPr>
        <w:t xml:space="preserve"> </w:t>
      </w:r>
      <w:hyperlink r:id="rId21" w:anchor="/document/99/902312609/XA00MCO2NQ/" w:history="1">
        <w:r>
          <w:rPr>
            <w:rStyle w:val="a4"/>
            <w:rFonts w:ascii="Georgia" w:hAnsi="Georgia"/>
            <w:sz w:val="19"/>
            <w:szCs w:val="19"/>
          </w:rPr>
          <w:t>статьи 46 Федерального закона от 21 ноября 2011 г. № 323-ФЗ "Об основах охраны здоровья граждан в Российской Федерации"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divId w:val="203568950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8600"/>
            <wp:effectExtent l="19050" t="0" r="7620" b="0"/>
            <wp:docPr id="5" name="Рисунок 5" descr="https://1otruda.ru/system/content/image/200/1/2823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2823655/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Сноска исключена с 1 сентября 2023 года -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3" w:anchor="/document/99/1301699479/XA00M9K2N6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Минтранса России от 5 мая 2023 года № 159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4" w:anchor="/document/99/578342560/XA00MB62ND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Дата и время выпуска транспортного средства на линию, а также дата, время и результат проведения п</w:t>
      </w:r>
      <w:r>
        <w:rPr>
          <w:rFonts w:ascii="Georgia" w:hAnsi="Georgia"/>
          <w:sz w:val="19"/>
          <w:szCs w:val="19"/>
        </w:rPr>
        <w:t>редрейсового или предсменного контроля технического состояния транспортного средства должны быть проставлены должностным лицом, ответственным за техническое состояние и безопасную эксплуатацию транспортных средств, назначаемым решением руководителя юридиче</w:t>
      </w:r>
      <w:r>
        <w:rPr>
          <w:rFonts w:ascii="Georgia" w:hAnsi="Georgia"/>
          <w:sz w:val="19"/>
          <w:szCs w:val="19"/>
        </w:rPr>
        <w:t>ского лица или индивидуального предпринимателя, самим индивидуальным предпринимателем или физическим лицом (далее - лицо, ответственное за выпуск транспортного средства на линию)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и время выпуска транспортного средства на линию, дата, время и результа</w:t>
      </w:r>
      <w:r>
        <w:rPr>
          <w:rFonts w:ascii="Georgia" w:hAnsi="Georgia"/>
          <w:sz w:val="19"/>
          <w:szCs w:val="19"/>
        </w:rPr>
        <w:t>т проведения предрейсового или предсменного контроля технического состояния транспортного средства, а также сведения из путевого листа и показания одометра при выпуске транспортного средства на линию должны быть заверены собственноручной подписью лица, отв</w:t>
      </w:r>
      <w:r>
        <w:rPr>
          <w:rFonts w:ascii="Georgia" w:hAnsi="Georgia"/>
          <w:sz w:val="19"/>
          <w:szCs w:val="19"/>
        </w:rPr>
        <w:t>етственного за выпуск транспортного средства на линию, на бумажном носителе либо УКЭП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</w:t>
      </w:r>
      <w:r>
        <w:rPr>
          <w:rFonts w:ascii="Georgia" w:hAnsi="Georgia"/>
          <w:sz w:val="19"/>
          <w:szCs w:val="19"/>
        </w:rPr>
        <w:t>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</w:t>
      </w:r>
      <w:r>
        <w:rPr>
          <w:rFonts w:ascii="Georgia" w:hAnsi="Georgia"/>
          <w:sz w:val="19"/>
          <w:szCs w:val="19"/>
        </w:rPr>
        <w:t>кой инфраструктурой с применением прошедших в установленном порядке процедуру оценки соответствия средств защиты информации (далее - УНЭП)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6" name="Рисунок 6" descr="https://1otruda.ru/system/content/image/200/1/28457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2845797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лица, ответственного за выпуск транспортного средства на линию в случае формирования электронного путевого листа с указанием фамилии, имени и отче</w:t>
      </w:r>
      <w:r>
        <w:rPr>
          <w:rFonts w:ascii="Georgia" w:hAnsi="Georgia"/>
          <w:sz w:val="19"/>
          <w:szCs w:val="19"/>
        </w:rPr>
        <w:t>ства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Результатом проведения предрейсового или предсменного контроля технического состояния транспортного средства является отметка "выпуск на линию разрешен", проставляемая лицом, ответственным за выпуск транспортного средства на линию в пут</w:t>
      </w:r>
      <w:r>
        <w:rPr>
          <w:rFonts w:ascii="Georgia" w:hAnsi="Georgia"/>
          <w:sz w:val="19"/>
          <w:szCs w:val="19"/>
        </w:rPr>
        <w:t>евом листе в случае, если при контроле не выявлены несоответствия требованиям, перечисленным в порядке организации и проведения предрейсового или предсменного контроля технического состояния транспортных средств, утверждаемом Минтрансом России в соответств</w:t>
      </w:r>
      <w:r>
        <w:rPr>
          <w:rFonts w:ascii="Georgia" w:hAnsi="Georgia"/>
          <w:sz w:val="19"/>
          <w:szCs w:val="19"/>
        </w:rPr>
        <w:t>ии с</w:t>
      </w:r>
      <w:r>
        <w:rPr>
          <w:rFonts w:ascii="Georgia" w:hAnsi="Georgia"/>
          <w:sz w:val="19"/>
          <w:szCs w:val="19"/>
        </w:rPr>
        <w:t xml:space="preserve"> </w:t>
      </w:r>
      <w:hyperlink r:id="rId26" w:anchor="/document/99/9014765/XA00M2M2MA/" w:history="1">
        <w:r>
          <w:rPr>
            <w:rStyle w:val="a4"/>
            <w:rFonts w:ascii="Georgia" w:hAnsi="Georgia"/>
            <w:sz w:val="19"/>
            <w:szCs w:val="19"/>
          </w:rPr>
          <w:t>пунктом 2 статьи 20 Федерального закона от 10 декабря 1995 г. № 196-ФЗ "О безопасности дорожного движения"</w:t>
        </w:r>
      </w:hyperlink>
      <w:r>
        <w:rPr>
          <w:rFonts w:ascii="Georgia" w:hAnsi="Georgia"/>
          <w:sz w:val="19"/>
          <w:szCs w:val="19"/>
        </w:rPr>
        <w:t>, на основании соответствующей записи, внесенной в журнал регистрации результатов контроля технического состояния транспортных средств, либо "выпуск на линию не разрешен" - если при контроле выявлены указанные несоответствия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40"/>
        <w:divId w:val="149194905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8600"/>
            <wp:effectExtent l="19050" t="0" r="7620" b="0"/>
            <wp:docPr id="7" name="Рисунок 7" descr="https://1otruda.ru/system/content/image/200/1/28236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2823656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Сноска исключена с 1 сентября 2023 года -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8" w:anchor="/document/99/1301699479/XA00M9K2N6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Минтранса России от 5 мая 2023 года № 159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 - См.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9" w:anchor="/document/99/578342560/XA00MB62ND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862D91">
      <w:pPr>
        <w:divId w:val="152070307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228600" cy="220980"/>
            <wp:effectExtent l="19050" t="0" r="0" b="0"/>
            <wp:docPr id="8" name="Рисунок 8" descr="https://1otruda.ru/system/content/image/200/1/28457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2845797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" w:anchor="/document/99/902070572/XA00M322MF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2 части 1 статьи 18.1 Федерального закона от 8 ноября 2007 г. № 259-ФЗ "Устав автомобильного транспорта и городского наземного электрического транспорта"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дополнитель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но включена с 1 сентября 2023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1" w:anchor="/document/99/1301699479/XA00M6A2MF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Минтранса России от 5 мая 2023 года № 159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Показания одометра при возвращении транспортного средства с линии по завершении последне</w:t>
      </w:r>
      <w:r>
        <w:rPr>
          <w:rFonts w:ascii="Georgia" w:hAnsi="Georgia"/>
          <w:sz w:val="19"/>
          <w:szCs w:val="19"/>
        </w:rPr>
        <w:t>го рейса или при выполнении последнего заказа легкового такси физическими лицами должны быть проставлены уполномоченным лицом, назначаемым решением руководителя юридического лица или индивидуального предпринимателя, или самим индивидуальным предпринимателе</w:t>
      </w:r>
      <w:r>
        <w:rPr>
          <w:rFonts w:ascii="Georgia" w:hAnsi="Georgia"/>
          <w:sz w:val="19"/>
          <w:szCs w:val="19"/>
        </w:rPr>
        <w:t>м или физическим лицом и заверены его собственноручной подписью на бумажном носителе либо УКЭП или УНЭП в случае формирования в виде электронного путевого листа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оформления на одно транспортное средство нескольких путевых листов на бумажных носите</w:t>
      </w:r>
      <w:r>
        <w:rPr>
          <w:rFonts w:ascii="Georgia" w:hAnsi="Georgia"/>
          <w:sz w:val="19"/>
          <w:szCs w:val="19"/>
        </w:rPr>
        <w:t>лях раздельно на каждого водителя дата, время и показания одометра при приеме-сдаче транспортного средства последующему водителю по окончании рабочего дня (смены) предыдущего водителя или при приеме транспортного средства последующим водителем в случае нев</w:t>
      </w:r>
      <w:r>
        <w:rPr>
          <w:rFonts w:ascii="Georgia" w:hAnsi="Georgia"/>
          <w:sz w:val="19"/>
          <w:szCs w:val="19"/>
        </w:rPr>
        <w:t>озможности сдачи транспортного средства предыдущим водителем должны быть проставлены и заверены собственноручной подписью водителя, принимающего транспортное средство, с указанием его фамилии, имени и отчества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862D91">
      <w:pPr>
        <w:spacing w:after="223"/>
        <w:jc w:val="both"/>
        <w:divId w:val="97899679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В случае использования элек</w:t>
      </w:r>
      <w:r>
        <w:rPr>
          <w:rFonts w:ascii="Georgia" w:hAnsi="Georgia"/>
          <w:sz w:val="19"/>
          <w:szCs w:val="19"/>
        </w:rPr>
        <w:t>тронного путевого листа при приеме груза для перевозки перевозчик или водитель транспортного средства должен предъявить для сверки грузоотправителю электронный путевой лист либо его копию на бумажном носителе</w:t>
      </w:r>
      <w:r>
        <w:rPr>
          <w:rFonts w:ascii="Georgia" w:hAnsi="Georgia"/>
          <w:sz w:val="19"/>
          <w:szCs w:val="19"/>
        </w:rPr>
        <w:t>.</w:t>
      </w:r>
    </w:p>
    <w:p w:rsidR="00862D91" w:rsidRDefault="00862D91">
      <w:pPr>
        <w:divId w:val="26374946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</w:t>
      </w:r>
      <w:r>
        <w:rPr>
          <w:rFonts w:ascii="Arial" w:eastAsia="Times New Roman" w:hAnsi="Arial" w:cs="Arial"/>
          <w:sz w:val="16"/>
          <w:szCs w:val="16"/>
        </w:rPr>
        <w:t>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86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3A22DA"/>
    <w:rsid w:val="001D20BA"/>
    <w:rsid w:val="003A22DA"/>
    <w:rsid w:val="0086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4946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2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92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175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9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06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15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208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92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50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905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307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image" Target="https://1otruda.ru/system/content/image/200/1/2823654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image" Target="https://1otruda.ru/system/content/image/200/1/2845797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image" Target="https://1otruda.ru/system/content/image/200/1/2838696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image" Target="https://1otruda.ru/system/content/image/200/1/2823655/" TargetMode="External"/><Relationship Id="rId27" Type="http://schemas.openxmlformats.org/officeDocument/2006/relationships/image" Target="https://1otruda.ru/system/content/image/200/1/2823656/" TargetMode="External"/><Relationship Id="rId30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2555</Words>
  <Characters>14565</Characters>
  <Application>Microsoft Office Word</Application>
  <DocSecurity>0</DocSecurity>
  <Lines>121</Lines>
  <Paragraphs>34</Paragraphs>
  <ScaleCrop>false</ScaleCrop>
  <Company/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2023-11-09T07:13:00Z</dcterms:created>
  <dcterms:modified xsi:type="dcterms:W3CDTF">2023-11-09T07:13:00Z</dcterms:modified>
</cp:coreProperties>
</file>