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57A5">
      <w:pPr>
        <w:pStyle w:val="printredaction-line"/>
        <w:divId w:val="162538079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7357A5">
      <w:pPr>
        <w:divId w:val="140765204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17.12.2021 № 894</w:t>
      </w:r>
    </w:p>
    <w:p w:rsidR="00000000" w:rsidRDefault="007357A5">
      <w:pPr>
        <w:pStyle w:val="2"/>
        <w:divId w:val="162538079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четвертой статьи 216.2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 подпу</w:t>
      </w:r>
      <w:r>
        <w:rPr>
          <w:rFonts w:ascii="Georgia" w:hAnsi="Georgia"/>
          <w:sz w:val="19"/>
          <w:szCs w:val="19"/>
        </w:rPr>
        <w:t>нктом 5.2.19(1)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3G2M3/" w:history="1">
        <w:r>
          <w:rPr>
            <w:rStyle w:val="a4"/>
            <w:rFonts w:ascii="Georgia" w:hAnsi="Georgia"/>
            <w:sz w:val="19"/>
            <w:szCs w:val="19"/>
          </w:rPr>
          <w:t>пункта 5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ст.3528; 2021, № 42, ст.7120)</w:t>
      </w:r>
      <w:r>
        <w:rPr>
          <w:rFonts w:ascii="Georgia" w:hAnsi="Georgia"/>
          <w:sz w:val="19"/>
          <w:szCs w:val="19"/>
        </w:rPr>
        <w:t>,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</w:t>
      </w:r>
      <w:hyperlink r:id="rId7" w:anchor="/document/99/727784256/XA00M262MM/" w:tgtFrame="_self" w:history="1">
        <w:r>
          <w:rPr>
            <w:rStyle w:val="a4"/>
            <w:rFonts w:ascii="Georgia" w:hAnsi="Georgia"/>
            <w:sz w:val="19"/>
            <w:szCs w:val="19"/>
          </w:rPr>
          <w:t>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согласно приложению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1781673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 Министерства труда и социального развития Российской Федерации от 17 января 2001 г. № 7 "Об утверждении Рекомендаций по организации работы кабинета охраны труда и уг</w:t>
        </w:r>
        <w:r>
          <w:rPr>
            <w:rStyle w:val="a4"/>
            <w:rFonts w:ascii="Georgia" w:hAnsi="Georgia"/>
            <w:sz w:val="19"/>
            <w:szCs w:val="19"/>
          </w:rPr>
          <w:t>олка охраны труда"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Установить, что настоящий приказ вступает в силу с 1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divId w:val="110672747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pStyle w:val="align-right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17 декабря 2021 года № 894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divId w:val="158429572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Рекомендации по разм</w:t>
      </w:r>
      <w:r>
        <w:rPr>
          <w:rStyle w:val="docsupplement-name"/>
          <w:rFonts w:ascii="Georgia" w:eastAsia="Times New Roman" w:hAnsi="Georgia"/>
          <w:sz w:val="19"/>
          <w:szCs w:val="19"/>
        </w:rPr>
        <w:t>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7357A5">
      <w:pPr>
        <w:divId w:val="111394323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Настоящие рекомендации разработаны для оказания помощи работодателям при органи</w:t>
      </w:r>
      <w:r>
        <w:rPr>
          <w:rFonts w:ascii="Georgia" w:hAnsi="Georgia"/>
          <w:sz w:val="19"/>
          <w:szCs w:val="19"/>
        </w:rPr>
        <w:t>зации работы/процесса в целях информирования работников об их трудовых правах, включая право на безопасные условия и охрану труда.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настоящих рекомендациях приведен примерный порядок размещения работодателем информационных материалов в целях информиро</w:t>
      </w:r>
      <w:r>
        <w:rPr>
          <w:rFonts w:ascii="Georgia" w:hAnsi="Georgia"/>
          <w:sz w:val="19"/>
          <w:szCs w:val="19"/>
        </w:rPr>
        <w:t>вания работников об их трудовых правах, включая право на безопасные условия и охрану труда, в зависимости от структуры и организации работы у конкретного работодателя, а также его финансовых возможностей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 основании настоящих рекомендаций работодатели</w:t>
      </w:r>
      <w:r>
        <w:rPr>
          <w:rFonts w:ascii="Georgia" w:hAnsi="Georgia"/>
          <w:sz w:val="19"/>
          <w:szCs w:val="19"/>
        </w:rPr>
        <w:t xml:space="preserve"> могут самостоятельно определять и осуществлять размещение информационных материалов в целях информирования работников об их трудовых правах, включая право на безопасные условия и охрану труда, с учетом форм (способов) информирования работников об их трудо</w:t>
      </w:r>
      <w:r>
        <w:rPr>
          <w:rFonts w:ascii="Georgia" w:hAnsi="Georgia"/>
          <w:sz w:val="19"/>
          <w:szCs w:val="19"/>
        </w:rPr>
        <w:t>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 Работодатели могут размещать информационные материалы в целях информирования работников об их трудовых правах, включая право на безопасные условия и охрану труда, любыми перечисленными спос</w:t>
      </w:r>
      <w:r>
        <w:rPr>
          <w:rFonts w:ascii="Georgia" w:hAnsi="Georgia"/>
          <w:sz w:val="19"/>
          <w:szCs w:val="19"/>
        </w:rPr>
        <w:t>обами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тиражирование (распространение) печатной продукции и видеоматериалов по информированию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распространение материалов по информированию работников об их трудовых</w:t>
      </w:r>
      <w:r>
        <w:rPr>
          <w:rFonts w:ascii="Georgia" w:hAnsi="Georgia"/>
          <w:sz w:val="19"/>
          <w:szCs w:val="19"/>
        </w:rPr>
        <w:t xml:space="preserve"> правах, включая право на безопасные условия и охрану труда через кабинеты охраны труда или уголки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размещение на внутреннем корпоративном веб-портале или веб-сайте работодателя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рассылка по электронной почте/проведение </w:t>
      </w:r>
      <w:r>
        <w:rPr>
          <w:rFonts w:ascii="Georgia" w:hAnsi="Georgia"/>
          <w:sz w:val="19"/>
          <w:szCs w:val="19"/>
        </w:rPr>
        <w:t>онлайн-опросов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проведение телефонных интервью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проведение собеседований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Работодатель может осуществлять указанные в </w:t>
      </w:r>
      <w:hyperlink r:id="rId9" w:anchor="/document/99/727784256/XA00M5Q2MD/" w:tgtFrame="_self" w:history="1">
        <w:r>
          <w:rPr>
            <w:rStyle w:val="a4"/>
            <w:rFonts w:ascii="Georgia" w:hAnsi="Georgia"/>
            <w:sz w:val="19"/>
            <w:szCs w:val="19"/>
          </w:rPr>
          <w:t>пункте 4</w:t>
        </w:r>
      </w:hyperlink>
      <w:r>
        <w:rPr>
          <w:rFonts w:ascii="Georgia" w:hAnsi="Georgia"/>
          <w:sz w:val="19"/>
          <w:szCs w:val="19"/>
        </w:rPr>
        <w:t xml:space="preserve"> мероприятия (далее - мероприятия)</w:t>
      </w:r>
      <w:r>
        <w:rPr>
          <w:rFonts w:ascii="Georgia" w:hAnsi="Georgia"/>
          <w:sz w:val="19"/>
          <w:szCs w:val="19"/>
        </w:rPr>
        <w:t xml:space="preserve"> либо по отдельности, либо одновременно, выбор конкретного мероприятия или состава мероприятий осуществляется работодателем самостоятельно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Работодатель может вести оценку эффективности работы по информированию работников об их трудовых правах, включая </w:t>
      </w:r>
      <w:r>
        <w:rPr>
          <w:rFonts w:ascii="Georgia" w:hAnsi="Georgia"/>
          <w:sz w:val="19"/>
          <w:szCs w:val="19"/>
        </w:rPr>
        <w:t>право на безопасные условия и охрану труда,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охват целе</w:t>
      </w:r>
      <w:r>
        <w:rPr>
          <w:rFonts w:ascii="Georgia" w:hAnsi="Georgia"/>
          <w:sz w:val="19"/>
          <w:szCs w:val="19"/>
        </w:rPr>
        <w:t>вой аудитории: сколько работников проинформировано о своих трудовых правах (в абсолютных или относительных величинах);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количество размещенных в электронной форме материалов (публикаций, выпусков периодических изданий) о трудовых правах работников, вклю</w:t>
      </w:r>
      <w:r>
        <w:rPr>
          <w:rFonts w:ascii="Georgia" w:hAnsi="Georgia"/>
          <w:sz w:val="19"/>
          <w:szCs w:val="19"/>
        </w:rPr>
        <w:t>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тираж печатных материалов (или их количество) с информацией о трудовых правах работников,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количество проведенных мероприятий, на которых обсуждались в</w:t>
      </w:r>
      <w:r>
        <w:rPr>
          <w:rFonts w:ascii="Georgia" w:hAnsi="Georgia"/>
          <w:sz w:val="19"/>
          <w:szCs w:val="19"/>
        </w:rPr>
        <w:t>опросы обеспечения трудовых прав работников или распространялись печатные материалы о трудовых правах работников,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divId w:val="11934869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организации тиражирования (распространения) печатной продукции и видеоматериало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Выпуск периодических корпоративных изданий (журналы, информационные бюллетени, информационные листки) по вопросам обеспечения трудовых прав работников может</w:t>
      </w:r>
      <w:r>
        <w:rPr>
          <w:rFonts w:ascii="Georgia" w:hAnsi="Georgia"/>
          <w:sz w:val="19"/>
          <w:szCs w:val="19"/>
        </w:rPr>
        <w:t xml:space="preserve"> осуществляться как в печатном, так и в электронном виде.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Выпуск периодических печатных изданий может осуществляться тиражом, рассчитанным только на штатную численность работников, либо на более широкую аудиторию. Распространение таких изданий рекоменд</w:t>
      </w:r>
      <w:r>
        <w:rPr>
          <w:rFonts w:ascii="Georgia" w:hAnsi="Georgia"/>
          <w:sz w:val="19"/>
          <w:szCs w:val="19"/>
        </w:rPr>
        <w:t>уется осуществлять как среди работников посредством распределения тиража между структурными подразделениями, так и по почте заинтересованным сторонам, а также рекомендуется размещать в общедоступных местах на территории работодателя или распространять по п</w:t>
      </w:r>
      <w:r>
        <w:rPr>
          <w:rFonts w:ascii="Georgia" w:hAnsi="Georgia"/>
          <w:sz w:val="19"/>
          <w:szCs w:val="19"/>
        </w:rPr>
        <w:t>одписке на возмездной или безвозмездной основе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Размещение материалов в целях информирования о трудовых правах работников, включая право на безопасные условия и охрану труда, может осуществляться на плакатах, приобретенных из числа существующих шаблонов</w:t>
      </w:r>
      <w:r>
        <w:rPr>
          <w:rFonts w:ascii="Georgia" w:hAnsi="Georgia"/>
          <w:sz w:val="19"/>
          <w:szCs w:val="19"/>
        </w:rPr>
        <w:t xml:space="preserve"> или разработанных по заказу работодателя. Плакаты рекомендуется размещать как на рабочих местах в структурных подразделениях работодателя, так и в кабинетах и уголках по охране труда, а также в общедоступных местах на территории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Выпуск м</w:t>
      </w:r>
      <w:r>
        <w:rPr>
          <w:rFonts w:ascii="Georgia" w:hAnsi="Georgia"/>
          <w:sz w:val="19"/>
          <w:szCs w:val="19"/>
        </w:rPr>
        <w:t>атериалов в целях информирования о трудовых правах работников, включая право на безопасные условия и охрану труда, может осуществляться в виде листовок, буклетов, выпускаемых как в электронном, так и в печатном виде. Выпуск отпечатанных листовок и буклетов</w:t>
      </w:r>
      <w:r>
        <w:rPr>
          <w:rFonts w:ascii="Georgia" w:hAnsi="Georgia"/>
          <w:sz w:val="19"/>
          <w:szCs w:val="19"/>
        </w:rPr>
        <w:t xml:space="preserve"> может осуществляться тиражом, рассчитанным только на штатную численность работников, или на более широкую аудиторию. Распространение таких листовок и буклетов рекомендуется осуществлять среди работников путем распределения тиража между структурными подраз</w:t>
      </w:r>
      <w:r>
        <w:rPr>
          <w:rFonts w:ascii="Georgia" w:hAnsi="Georgia"/>
          <w:sz w:val="19"/>
          <w:szCs w:val="19"/>
        </w:rPr>
        <w:t xml:space="preserve">делениями работодателя и (или) </w:t>
      </w:r>
      <w:r>
        <w:rPr>
          <w:rFonts w:ascii="Georgia" w:hAnsi="Georgia"/>
          <w:sz w:val="19"/>
          <w:szCs w:val="19"/>
        </w:rPr>
        <w:lastRenderedPageBreak/>
        <w:t>направлять по почте заинтересованным сторонам, а также рекомендуется размещать в общедоступных местах на территории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Видеоматериалы в целях информирования о трудовых правах работников, включая право на безопа</w:t>
      </w:r>
      <w:r>
        <w:rPr>
          <w:rFonts w:ascii="Georgia" w:hAnsi="Georgia"/>
          <w:sz w:val="19"/>
          <w:szCs w:val="19"/>
        </w:rPr>
        <w:t>сные условия и охрану труда, рекомендуется распространять в соответствии с формами (способами) информирования работников об их трудовых правах, включая право на безопасные условия и охрану труда, и (или) рассылать работникам на электронную почту с учетом с</w:t>
      </w:r>
      <w:r>
        <w:rPr>
          <w:rFonts w:ascii="Georgia" w:hAnsi="Georgia"/>
          <w:sz w:val="19"/>
          <w:szCs w:val="19"/>
        </w:rPr>
        <w:t>облюдения положений законодательства о защите персональных данных, а также транслировать в социальных сетях. Осуществление такой рассылки рекомендуется возлагать на подразделение (подразделения), определяемые работодателем, в том числе на службу охраны тру</w:t>
      </w:r>
      <w:r>
        <w:rPr>
          <w:rFonts w:ascii="Georgia" w:hAnsi="Georgia"/>
          <w:sz w:val="19"/>
          <w:szCs w:val="19"/>
        </w:rPr>
        <w:t>да (специалиста по охране труда), в том числе посредством деятельности кабинета охраны труда или уголка охраны труда (при их наличии).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divId w:val="191053692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организации взаимодействия с работниками в целях информирования о трудовых правах, включая право на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безопасные условия и охрану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При проведении онлайн-опросов, телефонных интервью и собеседований в целях информирования работников о трудовых правах, включая право на безопасные условия и охрану труда, обеспечивается соблюдение положений законодат</w:t>
      </w:r>
      <w:r>
        <w:rPr>
          <w:rFonts w:ascii="Georgia" w:hAnsi="Georgia"/>
          <w:sz w:val="19"/>
          <w:szCs w:val="19"/>
        </w:rPr>
        <w:t>ельства о защите персональных данных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Работодателю или службе охраны труда (специалисту по охране труда) рекомендуется заблаговременно информировать участников указанных мероприятий об их проведении. При осуществлении указанных мероприятий рекомендуется учитывать формы (способы) информировани</w:t>
      </w:r>
      <w:r>
        <w:rPr>
          <w:rFonts w:ascii="Georgia" w:hAnsi="Georgia"/>
          <w:sz w:val="19"/>
          <w:szCs w:val="19"/>
        </w:rPr>
        <w:t>я работников об их трудовых правах, включая право на безопасные условия и охрану труда, ответственность за проведение мероприятий работодателю рекомендуется возлагать на службу охраны труда (специалиста по охране труда), в том числе посредством деятельност</w:t>
      </w:r>
      <w:r>
        <w:rPr>
          <w:rFonts w:ascii="Georgia" w:hAnsi="Georgia"/>
          <w:sz w:val="19"/>
          <w:szCs w:val="19"/>
        </w:rPr>
        <w:t>и кабинета охраны труда или уголка охраны труда (при их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divId w:val="95533234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anchor="/document/99/901990046/XA00M9G2N4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7 Федерального закона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й Федерации, 2006, № 31, ст.3451).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Перечень действующих нормативных правовых актов по охране труда, включая правила и инструкции, с указанием их местонахождения рекомендуется хранить у руководителя (специалиста) службы охраны труда у работодателя, а также </w:t>
      </w:r>
      <w:r>
        <w:rPr>
          <w:rFonts w:ascii="Georgia" w:hAnsi="Georgia"/>
          <w:sz w:val="19"/>
          <w:szCs w:val="19"/>
        </w:rPr>
        <w:t>у руководителей структурных подразделений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Правила и инструкции по охране труда для работников рекомендуется размещать непосредственно на рабочих местах или участках, в специально отведенных и оборудованных для информирования работников местах</w:t>
      </w:r>
      <w:r>
        <w:rPr>
          <w:rFonts w:ascii="Georgia" w:hAnsi="Georgia"/>
          <w:sz w:val="19"/>
          <w:szCs w:val="19"/>
        </w:rPr>
        <w:t xml:space="preserve"> - кабинетах или уголках по охране труда, либо хранить в ином доступном для работников месте, определенном руководителем структурного подразделения, а также в электронном виде.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divId w:val="52671966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организации работы кабинета охраны труда или уголка охраны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труда у работодателя и в его структурных подразделения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Кабинет охраны труда или уголок охраны труда рекомендуется создавать в целях обеспечения соблюдения требований охраны труда, информирования работников о требованиях охраны труда, проведения профи</w:t>
      </w:r>
      <w:r>
        <w:rPr>
          <w:rFonts w:ascii="Georgia" w:hAnsi="Georgia"/>
          <w:sz w:val="19"/>
          <w:szCs w:val="19"/>
        </w:rPr>
        <w:t xml:space="preserve">лактической работы по предупреждению производственного травматизма и профессиональных заболеваний, в том числе в рамках функционирования системы управления охраной труда у работодателя и в его структурных подразделениях. Необходимость организации кабинета </w:t>
      </w:r>
      <w:r>
        <w:rPr>
          <w:rFonts w:ascii="Georgia" w:hAnsi="Georgia"/>
          <w:sz w:val="19"/>
          <w:szCs w:val="19"/>
        </w:rPr>
        <w:t>охраны труда или уголка охраны труда в своих структурных подразделениях работодатель определяет самостоятельно.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При принятии работодателем решения об организации кабинета охраны труда под него рекомендуется выделять специальное помещение, состоящее из</w:t>
      </w:r>
      <w:r>
        <w:rPr>
          <w:rFonts w:ascii="Georgia" w:hAnsi="Georgia"/>
          <w:sz w:val="19"/>
          <w:szCs w:val="19"/>
        </w:rPr>
        <w:t xml:space="preserve"> одной или нескольких комнат (кабинетов) с оснащением необходимыми техническими средствами, учебными пособиями и образцами, иллюстративными и информационными материалами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принятии работодателем решения об организации уголка охраны труда</w:t>
      </w:r>
      <w:r>
        <w:rPr>
          <w:rFonts w:ascii="Georgia" w:hAnsi="Georgia"/>
          <w:sz w:val="19"/>
          <w:szCs w:val="19"/>
        </w:rPr>
        <w:t xml:space="preserve"> его оформление рекомендуется осуществлять в зависимости от площади, выделяемой для его размещения, и может представлять собой стенд, витрину (проектор) или телевизионную панель с видеосвязью, компьютер со встроенной программой (системой)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15. Решение о со</w:t>
      </w:r>
      <w:r>
        <w:rPr>
          <w:rFonts w:ascii="Georgia" w:hAnsi="Georgia"/>
          <w:sz w:val="19"/>
          <w:szCs w:val="19"/>
        </w:rPr>
        <w:t>здании кабинета охраны труда или уголка охраны труда и его оснащении работодателю (его представителю) рекомендуется принимать при организации у него службы охраны труда или специалиста по охране труда с учетом специфики своей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У работодате</w:t>
      </w:r>
      <w:r>
        <w:rPr>
          <w:rFonts w:ascii="Georgia" w:hAnsi="Georgia"/>
          <w:sz w:val="19"/>
          <w:szCs w:val="19"/>
        </w:rPr>
        <w:t>лей, осуществляющих производственную деятельность, со штатной численностью 50 и более работников, а также у работодателей, специфика деятельности которых связана с большим объемом работы по обеспечению соблюдения требований охраны труда, в том числе в рамк</w:t>
      </w:r>
      <w:r>
        <w:rPr>
          <w:rFonts w:ascii="Georgia" w:hAnsi="Georgia"/>
          <w:sz w:val="19"/>
          <w:szCs w:val="19"/>
        </w:rPr>
        <w:t>ах системы управления охраной труда, рекомендуется создание кабинета охраны труда; у работодателей со штатной численностью менее 50 работников, а также в отдельных структурных и иных обособленных подразделениях работодателей - уголка охраны труда. Количест</w:t>
      </w:r>
      <w:r>
        <w:rPr>
          <w:rFonts w:ascii="Georgia" w:hAnsi="Georgia"/>
          <w:sz w:val="19"/>
          <w:szCs w:val="19"/>
        </w:rPr>
        <w:t>во таких уголков охраны труда определяется работодателем самостоятельно с учетом специфики своей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 работодателей, производственная деятельность которых связана с перемещением работников по объектам и нахождением на временных участках работы (</w:t>
      </w:r>
      <w:r>
        <w:rPr>
          <w:rFonts w:ascii="Georgia" w:hAnsi="Georgia"/>
          <w:sz w:val="19"/>
          <w:szCs w:val="19"/>
        </w:rPr>
        <w:t>например, при работе вахтово-экспедиционным методом), рекомендуется оборудовать передвижные кабинеты охраны труда и уголки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Работу кабинета охраны труда и уголка охраны труда рекомендуется обеспечивать в рамках функционирования системы упр</w:t>
      </w:r>
      <w:r>
        <w:rPr>
          <w:rFonts w:ascii="Georgia" w:hAnsi="Georgia"/>
          <w:sz w:val="19"/>
          <w:szCs w:val="19"/>
        </w:rPr>
        <w:t>авления охраной труда.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Организацию и руководство работой кабинета охраны труда и уголка охраны труда, в том числе контроль за их работой, рекомендуется возлагать на службу охраны труда у работодателя или специалиста по охране труда, в том числе привлекаем</w:t>
      </w:r>
      <w:r>
        <w:rPr>
          <w:rFonts w:ascii="Georgia" w:hAnsi="Georgia"/>
          <w:sz w:val="19"/>
          <w:szCs w:val="19"/>
        </w:rPr>
        <w:t>ого работодателем по гражданско-правовому договору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научно-исследовательских институтах и центрах ох</w:t>
      </w:r>
      <w:r>
        <w:rPr>
          <w:rFonts w:ascii="Georgia" w:hAnsi="Georgia"/>
          <w:sz w:val="19"/>
          <w:szCs w:val="19"/>
        </w:rPr>
        <w:t>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 осуществлении деятельности кабинета охраны труда и уголка охраны труда обеспечивается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оказ</w:t>
      </w:r>
      <w:r>
        <w:rPr>
          <w:rFonts w:ascii="Georgia" w:hAnsi="Georgia"/>
          <w:sz w:val="19"/>
          <w:szCs w:val="19"/>
        </w:rPr>
        <w:t>ание помощи руководителям структурных подразделений работодателя и работникам в обеспечении выполнения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информирование работников об их трудовых правах и обязанностях в области охраны труда, о состоянии условий и охраны труда у р</w:t>
      </w:r>
      <w:r>
        <w:rPr>
          <w:rFonts w:ascii="Georgia" w:hAnsi="Georgia"/>
          <w:sz w:val="19"/>
          <w:szCs w:val="19"/>
        </w:rPr>
        <w:t>аботодателя, на конкретных рабочих местах, о принятых нормативных правовых актах и локальных нормативных актах работодателя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пропаганда вопросов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Деятельность кабинета охраны труда обеспечивает реализацию следующих мероп</w:t>
      </w:r>
      <w:r>
        <w:rPr>
          <w:rFonts w:ascii="Georgia" w:hAnsi="Georgia"/>
          <w:sz w:val="19"/>
          <w:szCs w:val="19"/>
        </w:rPr>
        <w:t>риятий по охране труда, в том числе в рамках системы управления охраной труда у работодателя, а также организуемых совместными действиями руководства и иных должностных лиц работодателя, комитета (комиссии) по охране труда, службы охраны труда или специали</w:t>
      </w:r>
      <w:r>
        <w:rPr>
          <w:rFonts w:ascii="Georgia" w:hAnsi="Georgia"/>
          <w:sz w:val="19"/>
          <w:szCs w:val="19"/>
        </w:rPr>
        <w:t>ста по охране труда, уполномоченных (доверенных) лиц по охране труда профессиональных союзов или иных уполномоченных работниками представительных органов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проведение семинаров, лекций, бесед и консультаций по вопросам охраны труда, в том числе в целях и</w:t>
      </w:r>
      <w:r>
        <w:rPr>
          <w:rFonts w:ascii="Georgia" w:hAnsi="Georgia"/>
          <w:sz w:val="19"/>
          <w:szCs w:val="19"/>
        </w:rPr>
        <w:t>нформирования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обучение по охране труда, в том числе безопасным методам и приемам выполнения работ, правильному применению средств коллективной и индивидуальной защиты,</w:t>
      </w:r>
      <w:r>
        <w:rPr>
          <w:rFonts w:ascii="Georgia" w:hAnsi="Georgia"/>
          <w:sz w:val="19"/>
          <w:szCs w:val="19"/>
        </w:rPr>
        <w:t xml:space="preserve"> оказанию первой помощи пострадавшим на производстве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проведение инструктажей по охране труда, тематических занятий с работниками, к которым предъявляются дополнительные требования по обеспечению охраны труда, соблюдению норм промышленной безопасности и санитарных норм, проверки знаний требований охраны тр</w:t>
      </w:r>
      <w:r>
        <w:rPr>
          <w:rFonts w:ascii="Georgia" w:hAnsi="Georgia"/>
          <w:sz w:val="19"/>
          <w:szCs w:val="19"/>
        </w:rPr>
        <w:t>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организацию выставок, экспозиций, стендов, макетов и других форм наглядной агитации и пропаганды передового опыта по обеспечению безопасных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проведение аналитических исследований состояния условий и охраны труда на рабочих местах и</w:t>
      </w:r>
      <w:r>
        <w:rPr>
          <w:rFonts w:ascii="Georgia" w:hAnsi="Georgia"/>
          <w:sz w:val="19"/>
          <w:szCs w:val="19"/>
        </w:rPr>
        <w:t xml:space="preserve"> у работодателя в целом и их влияния на безопасность и здоровье работников при осуществлении ими трудовой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21. Деятельность уголка охраны труда обеспечивает в зависимости от уровня оснащенности выполнение отдельных или всех мероприятий, предус</w:t>
      </w:r>
      <w:r>
        <w:rPr>
          <w:rFonts w:ascii="Georgia" w:hAnsi="Georgia"/>
          <w:sz w:val="19"/>
          <w:szCs w:val="19"/>
        </w:rPr>
        <w:t xml:space="preserve">мотренных </w:t>
      </w:r>
      <w:hyperlink r:id="rId12" w:anchor="/document/99/727784256/XA00MA02N6/" w:tgtFrame="_self" w:history="1">
        <w:r>
          <w:rPr>
            <w:rStyle w:val="a4"/>
            <w:rFonts w:ascii="Georgia" w:hAnsi="Georgia"/>
            <w:sz w:val="19"/>
            <w:szCs w:val="19"/>
          </w:rPr>
          <w:t>пунктом 20</w:t>
        </w:r>
      </w:hyperlink>
      <w:r>
        <w:rPr>
          <w:rFonts w:ascii="Georgia" w:hAnsi="Georgia"/>
          <w:sz w:val="19"/>
          <w:szCs w:val="19"/>
        </w:rPr>
        <w:t xml:space="preserve"> для кабинета охраны труда.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Деятельность уголка охраны труда структурного подразделения (участка) работодателя обеспечивает доведение до работни</w:t>
      </w:r>
      <w:r>
        <w:rPr>
          <w:rFonts w:ascii="Georgia" w:hAnsi="Georgia"/>
          <w:sz w:val="19"/>
          <w:szCs w:val="19"/>
        </w:rPr>
        <w:t>ков информации о: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трудовых правах работников,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планах работы кабинета охраны труда (при наличии у работодателя)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графиках проведения инструктажей по охране труда и расписаниях учебных занятий по </w:t>
      </w:r>
      <w:r>
        <w:rPr>
          <w:rFonts w:ascii="Georgia" w:hAnsi="Georgia"/>
          <w:sz w:val="19"/>
          <w:szCs w:val="19"/>
        </w:rPr>
        <w:t>охране труда;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приказах и распоряжениях по вопросам охраны труда у работодателя, планах мероприятий по улучшению условий и охраны труда;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выявленных вредных и опасных производственных факторах и имеющихся средствах индивидуальной и коллективной защит</w:t>
      </w:r>
      <w:r>
        <w:rPr>
          <w:rFonts w:ascii="Georgia" w:hAnsi="Georgia"/>
          <w:sz w:val="19"/>
          <w:szCs w:val="19"/>
        </w:rPr>
        <w:t>ы на рабочих местах структурного подразделения (участка);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выявленных нарушениях требований законодательства об охране труда и принятых мерах по их устранению;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случаях производственного травматизма и профзаболеваний у работодателя и в его структурны</w:t>
      </w:r>
      <w:r>
        <w:rPr>
          <w:rFonts w:ascii="Georgia" w:hAnsi="Georgia"/>
          <w:sz w:val="19"/>
          <w:szCs w:val="19"/>
        </w:rPr>
        <w:t>х подразделениях и принятых мерах по устранению их причин;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новых поступлениях документов, учебно-методической литературы, учебных видеофильмов по охране труда и других документов и материалов в кабинет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divId w:val="4248836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Тематическая структура и оснащение кабинета охраны труда и уголка охраны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В тематическую структуру оснащения кабинета охраны труда и уголка охраны труда рекомендуется включать общий и специальные разделы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общий раздел рекомендуется включать зако</w:t>
      </w:r>
      <w:r>
        <w:rPr>
          <w:rFonts w:ascii="Georgia" w:hAnsi="Georgia"/>
          <w:sz w:val="19"/>
          <w:szCs w:val="19"/>
        </w:rPr>
        <w:t>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работодателя, информацию о системе управления охраной труда у работодателя, а также общи</w:t>
      </w:r>
      <w:r>
        <w:rPr>
          <w:rFonts w:ascii="Georgia" w:hAnsi="Georgia"/>
          <w:sz w:val="19"/>
          <w:szCs w:val="19"/>
        </w:rPr>
        <w:t>е сведения по обеспечению безопасных условий труда, в том числе об опасных и вредных производственных факторах на рабочих местах, применяемых средствах коллективной и индивидуальной защиты, действиях человека при возникновении чрезвычайных ситуаций, аварий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Перечень 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</w:t>
      </w:r>
      <w:r>
        <w:rPr>
          <w:rFonts w:ascii="Georgia" w:hAnsi="Georgia"/>
          <w:sz w:val="19"/>
          <w:szCs w:val="19"/>
        </w:rPr>
        <w:t>альной защиты и меры предосторожности, принятые на производстве знаки безопасности и др.) рекомендуется определять с учетом условий труда на рабочих местах и специфики деятельности работодателя. Рекомендуется раздельное комплектование учебного и справочног</w:t>
      </w:r>
      <w:r>
        <w:rPr>
          <w:rFonts w:ascii="Georgia" w:hAnsi="Georgia"/>
          <w:sz w:val="19"/>
          <w:szCs w:val="19"/>
        </w:rPr>
        <w:t>о разделов, отражающих специфику всех видов производства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</w:t>
      </w:r>
      <w:r>
        <w:rPr>
          <w:rFonts w:ascii="Georgia" w:hAnsi="Georgia"/>
          <w:sz w:val="19"/>
          <w:szCs w:val="19"/>
        </w:rPr>
        <w:t>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Оценку необходимой площади для кабинета охраны тр</w:t>
      </w:r>
      <w:r>
        <w:rPr>
          <w:rFonts w:ascii="Georgia" w:hAnsi="Georgia"/>
          <w:sz w:val="19"/>
          <w:szCs w:val="19"/>
        </w:rPr>
        <w:t>уда рекомендуется производить на основе расчета потребности в обучении по охране труда на календарный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Для организации уголка охраны труда рекомендуется выделять либо отдельное помещение, либо оборудовать часть помещения общего назначения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27. При </w:t>
      </w:r>
      <w:r>
        <w:rPr>
          <w:rFonts w:ascii="Georgia" w:hAnsi="Georgia"/>
          <w:sz w:val="19"/>
          <w:szCs w:val="19"/>
        </w:rPr>
        <w:t>организации работы кабинета охраны труда и уголка охраны труда рекомендуется учитывать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соответствие требованиям (в части целей, содержания и направлений работы) системы управления охраной труда, которые работодатель самостоятельно определяет с учетом с</w:t>
      </w:r>
      <w:r>
        <w:rPr>
          <w:rFonts w:ascii="Georgia" w:hAnsi="Georgia"/>
          <w:sz w:val="19"/>
          <w:szCs w:val="19"/>
        </w:rPr>
        <w:t>пецифики своей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труда, в том числе об их трудовых правах, включая право на безопа</w:t>
      </w:r>
      <w:r>
        <w:rPr>
          <w:rFonts w:ascii="Georgia" w:hAnsi="Georgia"/>
          <w:sz w:val="19"/>
          <w:szCs w:val="19"/>
        </w:rPr>
        <w:t>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планирование работы (в соответствии с перспективным и текущим планами работы), в том числе в рамках функционирования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 целях эффективной работы кабинета охраны труда (уголка охраны труда</w:t>
      </w:r>
      <w:r>
        <w:rPr>
          <w:rFonts w:ascii="Georgia" w:hAnsi="Georgia"/>
          <w:sz w:val="19"/>
          <w:szCs w:val="19"/>
        </w:rPr>
        <w:t>) рекомендуется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составить план работы кабинета охраны труда (уголка охраны труда), включающего разработку конкретных мероприятий на определенный срок, с указанием лиц, ответственных за их проведение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организовать работу оборудования, оснащение и офо</w:t>
      </w:r>
      <w:r>
        <w:rPr>
          <w:rFonts w:ascii="Georgia" w:hAnsi="Georgia"/>
          <w:sz w:val="19"/>
          <w:szCs w:val="19"/>
        </w:rPr>
        <w:t>рмление кабинета охраны труда (уголка охраны труда) в соответствии с заявленными мероприятиями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организовать проведение указанных мероприятий с участием структурных подразделений и служб работодателя, с привлечением, при необходимости, специалистов орга</w:t>
      </w:r>
      <w:r>
        <w:rPr>
          <w:rFonts w:ascii="Georgia" w:hAnsi="Georgia"/>
          <w:sz w:val="19"/>
          <w:szCs w:val="19"/>
        </w:rPr>
        <w:t>нов исполнительной власти по вопросам охраны труда, органов государственного надзора и контроля за соблюдением трудового законодательства, объединений профсоюзов и объединений работодателей, образовательных и специализированных организаций в области охраны</w:t>
      </w:r>
      <w:r>
        <w:rPr>
          <w:rFonts w:ascii="Georgia" w:hAnsi="Georgia"/>
          <w:sz w:val="19"/>
          <w:szCs w:val="19"/>
        </w:rPr>
        <w:t xml:space="preserve"> труда и других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Допускается установление коллективным договором (отраслевым соглашением) (при наличии) дополнительных, не противоречащих законодательству требований к кабинетам охраны труда (уголкам охраны труда), организационным формам их работы, оснащению и методиче</w:t>
      </w:r>
      <w:r>
        <w:rPr>
          <w:rFonts w:ascii="Georgia" w:hAnsi="Georgia"/>
          <w:sz w:val="19"/>
          <w:szCs w:val="19"/>
        </w:rPr>
        <w:t>скому обеспечению, обеспечивающих улучшение координации и повышение эффективности работы кабинетов охраны труда и уголков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357A5">
      <w:pPr>
        <w:spacing w:after="223"/>
        <w:jc w:val="both"/>
        <w:divId w:val="2476648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7357A5" w:rsidRDefault="007357A5">
      <w:pPr>
        <w:divId w:val="108187573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73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61278"/>
    <w:rsid w:val="00061278"/>
    <w:rsid w:val="007357A5"/>
    <w:rsid w:val="00AF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73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847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747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32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6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9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34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6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6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image" Target="https://1otruda.ru/system/content/image/200/1/2782424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3052</Words>
  <Characters>17403</Characters>
  <Application>Microsoft Office Word</Application>
  <DocSecurity>0</DocSecurity>
  <Lines>145</Lines>
  <Paragraphs>40</Paragraphs>
  <ScaleCrop>false</ScaleCrop>
  <Company/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2023-11-09T07:08:00Z</dcterms:created>
  <dcterms:modified xsi:type="dcterms:W3CDTF">2023-11-09T07:08:00Z</dcterms:modified>
</cp:coreProperties>
</file>